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RSOpgaveHent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1.3</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16-02-2011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en opgave i Ressourcestyring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Henter en Ressourcestyring opgave</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Der kan hentes en opgave med enten en OpgaveID eller en Bookingreference.</w:t>
              <w:br/>
              <w:t>Når der sættes "false" i ReturnerKunOpgave, returneres der også afvisninger, opgavekøen, opgavetypen, kalenderslots og domænespecifikke ekstra informationer (f.eks. fordringstyper, sportyper osv.)</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RSOpgaveHent_I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*SøgeID*</w:t>
              <w:br/>
              <w:t>[</w:t>
              <w:br/>
              <w:t/>
              <w:tab/>
              <w:t>OpgaveID</w:t>
              <w:br/>
              <w:t/>
              <w:tab/>
              <w:t>|</w:t>
              <w:br/>
              <w:t/>
              <w:tab/>
              <w:t>OpgaveBookingreference</w:t>
              <w:br/>
              <w:t>]</w:t>
              <w:br/>
              <w:t>ReturnerKunOpgaveMarkering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RSOpgaveHent_O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w:t>
              <w:br/>
              <w:t>[</w:t>
              <w:br/>
              <w:t/>
              <w:tab/>
              <w:t>OpgaveStruktur</w:t>
              <w:br/>
              <w:t/>
              <w:tab/>
              <w:t>*OrgEnhedAdresse*</w:t>
              <w:br/>
              <w:t/>
              <w:tab/>
              <w:t>[</w:t>
              <w:br/>
              <w:t/>
              <w:tab/>
              <w:t/>
              <w:tab/>
              <w:t>RSOrganisatoriskEnhedNavn</w:t>
              <w:br/>
              <w:t/>
              <w:tab/>
              <w:t/>
              <w:tab/>
              <w:t>ArbejdsstedStruktur</w:t>
              <w:br/>
              <w:t/>
              <w:tab/>
              <w:t>]</w:t>
              <w:br/>
              <w:t/>
              <w:tab/>
              <w:t>(OpgavetypeStruktur)</w:t>
              <w:br/>
              <w:t/>
              <w:tab/>
              <w:t>(OpgavekøStruktur)</w:t>
              <w:br/>
              <w:t/>
              <w:tab/>
              <w:t>(</w:t>
              <w:br/>
              <w:t/>
              <w:tab/>
              <w:t/>
              <w:tab/>
              <w:t>*ProduktionslederSamling*</w:t>
              <w:br/>
              <w:t/>
              <w:tab/>
              <w:t/>
              <w:tab/>
              <w:t>[</w:t>
              <w:br/>
              <w:t/>
              <w:tab/>
              <w:t/>
              <w:tab/>
              <w:t/>
              <w:tab/>
              <w:t>*ProduktionslederListe*</w:t>
              <w:br/>
              <w:t/>
              <w:tab/>
              <w:t/>
              <w:tab/>
              <w:t/>
              <w:tab/>
              <w:t>1{</w:t>
              <w:br/>
              <w:t/>
              <w:tab/>
              <w:t/>
              <w:tab/>
              <w:t/>
              <w:tab/>
              <w:t/>
              <w:tab/>
              <w:t>RSRessourceStruktur</w:t>
              <w:br/>
              <w:t/>
              <w:tab/>
              <w:t/>
              <w:tab/>
              <w:t/>
              <w:tab/>
              <w:t>}</w:t>
              <w:br/>
              <w:t/>
              <w:tab/>
              <w:t/>
              <w:tab/>
              <w:t>]</w:t>
              <w:br/>
              <w:t/>
              <w:tab/>
              <w:t>)</w:t>
              <w:br/>
              <w:t/>
              <w:tab/>
              <w:t>(</w:t>
              <w:br/>
              <w:t/>
              <w:tab/>
              <w:t/>
              <w:tab/>
              <w:t>*RessourceSamling*</w:t>
              <w:br/>
              <w:t/>
              <w:tab/>
              <w:t/>
              <w:tab/>
              <w:t>[</w:t>
              <w:br/>
              <w:t/>
              <w:tab/>
              <w:t/>
              <w:tab/>
              <w:t/>
              <w:tab/>
              <w:t>*Ressourcer*</w:t>
              <w:br/>
              <w:t/>
              <w:tab/>
              <w:t/>
              <w:tab/>
              <w:t/>
              <w:tab/>
              <w:t>1{</w:t>
              <w:br/>
              <w:t/>
              <w:tab/>
              <w:t/>
              <w:tab/>
              <w:t/>
              <w:tab/>
              <w:t/>
              <w:tab/>
              <w:t>RSRessourceStruktur</w:t>
              <w:br/>
              <w:t/>
              <w:tab/>
              <w:t/>
              <w:tab/>
              <w:t/>
              <w:tab/>
              <w:t>}</w:t>
              <w:br/>
              <w:t/>
              <w:tab/>
              <w:t/>
              <w:tab/>
              <w:t>]</w:t>
              <w:br/>
              <w:t/>
              <w:tab/>
              <w:t>)</w:t>
              <w:br/>
              <w:t/>
              <w:tab/>
              <w:t>(</w:t>
              <w:br/>
              <w:t/>
              <w:tab/>
              <w:t/>
              <w:tab/>
              <w:t>*AfvisningSamling*</w:t>
              <w:br/>
              <w:t/>
              <w:tab/>
              <w:t/>
              <w:tab/>
              <w:t>[</w:t>
              <w:br/>
              <w:t/>
              <w:tab/>
              <w:t/>
              <w:tab/>
              <w:t/>
              <w:tab/>
              <w:t>*Afvisninger*</w:t>
              <w:br/>
              <w:t/>
              <w:tab/>
              <w:t/>
              <w:tab/>
              <w:t/>
              <w:tab/>
              <w:t>1{</w:t>
              <w:br/>
              <w:t/>
              <w:tab/>
              <w:t/>
              <w:tab/>
              <w:t/>
              <w:tab/>
              <w:t/>
              <w:tab/>
              <w:t>OpgaveAfvisningStruktur</w:t>
              <w:br/>
              <w:t/>
              <w:tab/>
              <w:t/>
              <w:tab/>
              <w:t/>
              <w:tab/>
              <w:t>}</w:t>
              <w:br/>
              <w:t/>
              <w:tab/>
              <w:t/>
              <w:tab/>
              <w:t>]</w:t>
              <w:br/>
              <w:t/>
              <w:tab/>
              <w:t>)</w:t>
              <w:br/>
              <w:t/>
              <w:tab/>
              <w:t>(</w:t>
              <w:br/>
              <w:t/>
              <w:tab/>
              <w:t/>
              <w:tab/>
              <w:t>*SlotSamling*</w:t>
              <w:br/>
              <w:t/>
              <w:tab/>
              <w:t/>
              <w:tab/>
              <w:t>[</w:t>
              <w:br/>
              <w:t/>
              <w:tab/>
              <w:t/>
              <w:tab/>
              <w:t/>
              <w:tab/>
              <w:t>*KalenderSlot*</w:t>
              <w:br/>
              <w:t/>
              <w:tab/>
              <w:t/>
              <w:tab/>
              <w:t/>
              <w:tab/>
              <w:t>0{</w:t>
              <w:br/>
              <w:t/>
              <w:tab/>
              <w:t/>
              <w:tab/>
              <w:t/>
              <w:tab/>
              <w:t/>
              <w:tab/>
              <w:t>SlotStruktur</w:t>
              <w:br/>
              <w:t/>
              <w:tab/>
              <w:t/>
              <w:tab/>
              <w:t/>
              <w:tab/>
              <w:t>}</w:t>
              <w:br/>
              <w:t/>
              <w:tab/>
              <w:t/>
              <w:tab/>
              <w:t>]</w:t>
              <w:br/>
              <w:t/>
              <w:tab/>
              <w:t>)</w:t>
              <w:br/>
              <w:t/>
              <w:tab/>
              <w:t>(</w:t>
              <w:br/>
              <w:t/>
              <w:tab/>
              <w:t/>
              <w:tab/>
              <w:t>*ForløbsopgaveSamling*</w:t>
              <w:br/>
              <w:t/>
              <w:tab/>
              <w:t/>
              <w:tab/>
              <w:t>[</w:t>
              <w:br/>
              <w:t/>
              <w:tab/>
              <w:t/>
              <w:tab/>
              <w:t/>
              <w:tab/>
              <w:t>*Forløbsopgaver*</w:t>
              <w:br/>
              <w:t/>
              <w:tab/>
              <w:t/>
              <w:tab/>
              <w:t/>
              <w:tab/>
              <w:t>1{</w:t>
              <w:br/>
              <w:t/>
              <w:tab/>
              <w:t/>
              <w:tab/>
              <w:t/>
              <w:tab/>
              <w:t/>
              <w:tab/>
              <w:t>OpgaveStruktur</w:t>
              <w:br/>
              <w:t/>
              <w:tab/>
              <w:t/>
              <w:tab/>
              <w:t/>
              <w:tab/>
              <w:t/>
              <w:tab/>
              <w:t>(OpgavetypeStruktur)</w:t>
              <w:br/>
              <w:t/>
              <w:tab/>
              <w:t/>
              <w:tab/>
              <w:t/>
              <w:tab/>
              <w:t>}</w:t>
              <w:br/>
              <w:t/>
              <w:tab/>
              <w:t/>
              <w:tab/>
              <w:t>]</w:t>
              <w:br/>
              <w:t/>
              <w:tab/>
              <w:t>)</w:t>
              <w:br/>
              <w:t/>
              <w:tab/>
              <w:t>(</w:t>
              <w:br/>
              <w:t/>
              <w:tab/>
              <w:t/>
              <w:tab/>
              <w:t>*EkstraInfo*</w:t>
              <w:br/>
              <w:t/>
              <w:tab/>
              <w:t/>
              <w:tab/>
              <w:t>[</w:t>
              <w:br/>
              <w:t/>
              <w:tab/>
              <w:t/>
              <w:tab/>
              <w:t/>
              <w:tab/>
              <w:t>RSEFIEkstraInfoStruktur</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Ingen, hvis ID eller reference ikke findes, returneres ingen opgave.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AdresseStruktur</w:t>
            </w:r>
            <w:bookmarkStart w:nam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w:t>
              <w:br/>
              <w:t>[</w:t>
              <w:br/>
              <w:t/>
              <w:tab/>
              <w:t>(AdresseFortløbendeNummer)</w:t>
              <w:br/>
              <w:t/>
              <w:tab/>
              <w:t>(AdresseAnvendelseKode)</w:t>
              <w:br/>
              <w:t/>
              <w:tab/>
              <w:t>(AdresseVejNavn)</w:t>
              <w:br/>
              <w:t/>
              <w:tab/>
              <w:t>(AdresseVejKode)</w:t>
              <w:br/>
              <w:t/>
              <w:tab/>
              <w:t>(AdresseFraHusNummer)</w:t>
              <w:br/>
              <w:t/>
              <w:tab/>
              <w:t>(AdresseTilHusNummer)</w:t>
              <w:br/>
              <w:t/>
              <w:tab/>
              <w:t>(AdresseFraHusBogstav)</w:t>
              <w:br/>
              <w:t/>
              <w:tab/>
              <w:t>(AdresseTilHusBogstav)</w:t>
              <w:br/>
              <w:t/>
              <w:tab/>
              <w:t>(AdresseLigeUlige)</w:t>
              <w:br/>
              <w:t/>
              <w:tab/>
              <w:t>(AdresseEtageTekst)</w:t>
              <w:br/>
              <w:t/>
              <w:tab/>
              <w:t>(AdresseSideDørTekst)</w:t>
              <w:br/>
              <w:t/>
              <w:tab/>
              <w:t>(AdresseCONavn)</w:t>
              <w:br/>
              <w:t/>
              <w:tab/>
              <w:t>(AdressePostNummer)</w:t>
              <w:br/>
              <w:t/>
              <w:tab/>
              <w:t>(AdressePostDistrikt)</w:t>
              <w:br/>
              <w:t/>
              <w:tab/>
              <w:t>(AdresseByNavn)</w:t>
              <w:br/>
              <w:t/>
              <w:tab/>
              <w:t>(AdressePostBox)</w:t>
              <w:br/>
              <w:t/>
              <w:tab/>
              <w:t>(AdresseGyldigFra)</w:t>
              <w:br/>
              <w:t/>
              <w:tab/>
              <w:t>(AdresseGyldigTil)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ArbejdsstedStruktur</w:t>
            </w:r>
            <w:bookmarkStart w:name="Arbejdsst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ArbejdsstedID</w:t>
              <w:br/>
              <w:t>AdresseStruktur</w:t>
              <w:br/>
              <w:t>ArbejdsstedOprettetAf</w:t>
              <w:br/>
              <w:t>ArbejdsstedOprettetTid</w:t>
              <w:br/>
              <w:t>(ArbejdsstedÆndretAf)</w:t>
              <w:br/>
              <w:t>(ArbejdsstedÆndretTid)</w:t>
              <w:br/>
              <w:t>(ArbejdsstedSlettetAf)</w:t>
              <w:br/>
              <w:t>(ArbejdsstedSlettetTid)</w:t>
              <w:br/>
              <w:t>ArbejdsstedTimestampVersion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Et arbejdssted kan både være et SKAT kontors adresse og en medarbejders hjemmeadresse hvis medarbejderen arbejder hjemme.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OpgaveAfvisningStruktur</w:t>
            </w:r>
            <w:bookmarkStart w:name="OpgaveAfvi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OpgaveAfvisningID</w:t>
              <w:br/>
              <w:t>OpgaveAfvisningOpgaveID</w:t>
              <w:br/>
              <w:t>(OpgaveAfvisningMedarbejderprofilID)</w:t>
              <w:br/>
              <w:t>(OpgaveAfvisningTekst)</w:t>
              <w:br/>
              <w:t>OpgaveAfvisningAfvistAf</w:t>
              <w:br/>
              <w:t>OpgaveAfvisningAfvistTid</w:t>
              <w:br/>
              <w:t>(OpgaveAfvisningSlettetAf)</w:t>
              <w:br/>
              <w:t>(OpgaveAfvisningSlettetTid)</w:t>
              <w:br/>
              <w:t>OpgaveAfvisningTimestampVersion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medarbejder har mulighed for at afvise en opgave i Ressourcestyring. En afvisning vil medføre at opgaven bliver sendt tilbage på opgavekøen, så en anden medabejder kan tage opgaven.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OpgavekøStruktur</w:t>
            </w:r>
            <w:bookmarkStart w:name="Opgavekø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OpgavekøID</w:t>
              <w:br/>
              <w:t>OpgavekøDomæne</w:t>
              <w:br/>
              <w:t>(OpgavekøNavn)</w:t>
              <w:br/>
              <w:t>(OpgavekøBeskrivelse)</w:t>
              <w:br/>
              <w:t>OpgavekøPrioritet</w:t>
              <w:br/>
              <w:t>OpgavekøFrigivet</w:t>
              <w:br/>
              <w:t>(OpgavekøGyldigFra)</w:t>
              <w:br/>
              <w:t>(OpgavekøGyldigTil)</w:t>
              <w:br/>
              <w:t>OpgavekøOprettetAf</w:t>
              <w:br/>
              <w:t>OpgavekøOprettetTid</w:t>
              <w:br/>
              <w:t>(OpgavekøÆndretAf)</w:t>
              <w:br/>
              <w:t>(OpgavekøÆndretTid)</w:t>
              <w:br/>
              <w:t>(OpgavekøSlettetAf)</w:t>
              <w:br/>
              <w:t>(OpgavekøSlettetTid)</w:t>
              <w:br/>
              <w:t>OpgavekøTimestampVersion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OpgavetypeStruktur</w:t>
            </w:r>
            <w:bookmarkStart w:name="Opgavetyp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OpgavetypeID</w:t>
              <w:br/>
              <w:t>OpgavetypeDomæne</w:t>
              <w:br/>
              <w:t>OpgavetypeNavn</w:t>
              <w:br/>
              <w:t>OpgavetypeOpgaveKategori</w:t>
              <w:br/>
              <w:t>OpgavetypeBeskrivelse</w:t>
              <w:br/>
              <w:t>(OpgavetypeLinkTilSag)</w:t>
              <w:br/>
              <w:t>OpgavetypeGennemførselstid</w:t>
              <w:br/>
              <w:t>OpgavetypeGennemførselsfrist</w:t>
              <w:br/>
              <w:t>OpgavetypePrioritet</w:t>
              <w:br/>
              <w:t>OpgavetypeSandsynlighed</w:t>
              <w:br/>
              <w:t>(OpgavetypePoint)</w:t>
              <w:br/>
              <w:t>OpgavetypeVentedage</w:t>
              <w:br/>
              <w:t>OpgavetypeKundeAfhængig</w:t>
              <w:br/>
              <w:t>OpgavetypeUdgående</w:t>
              <w:br/>
              <w:t>(OpgavetypeGyldigFra)</w:t>
              <w:br/>
              <w:t>(OpgavetypeGyldigTil)</w:t>
              <w:br/>
              <w:t>(OpgavetypeHentYderligereInfo)</w:t>
              <w:br/>
              <w:t>OpgavetypeOprettetAf</w:t>
              <w:br/>
              <w:t>OpgavetypeOprettetTid</w:t>
              <w:br/>
              <w:t>(OpgavetypeÆndretAf)</w:t>
              <w:br/>
              <w:t>(OpgavetypeÆndretTid)</w:t>
              <w:br/>
              <w:t>(OpgavetypeSlettetAf)</w:t>
              <w:br/>
              <w:t>(OpgavetypeSlettetTid)</w:t>
              <w:br/>
              <w:t>OpgavetypeTimestampVersion</w:t>
              <w:br/>
              <w:t>(OpgavetypeBookingInterval)</w:t>
              <w:br/>
              <w:t>(OpgavetypeBookingSvarDage)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Opgavetypen er en skabelon for opgaver. Opgavetypen indeholder en masse pre-konfigurerede oplysninger som der dog er mulighed for at overskrive når opgaven oprettes.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RSRessourceStruktur</w:t>
            </w:r>
            <w:bookmarkStart w:name="RSRessour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RSRessourceID</w:t>
              <w:br/>
              <w:t>RSRessourceRessourcegruppeID</w:t>
              <w:br/>
              <w:t>RSRessourceNavn</w:t>
              <w:br/>
              <w:t>RSRessourceBeskrivelse</w:t>
              <w:br/>
              <w:t>(RSRessourceGyldigFra)</w:t>
              <w:br/>
              <w:t>(RSRessourceGyldigTil)</w:t>
              <w:br/>
              <w:t>RSRessourceOprettetAf</w:t>
              <w:br/>
              <w:t>RSRessourceOprettetTid</w:t>
              <w:br/>
              <w:t>(RSRessourceÆndretAf)</w:t>
              <w:br/>
              <w:t>(RSRessourceÆndretTid)</w:t>
              <w:br/>
              <w:t>(RSRessourceSlettetAf)</w:t>
              <w:br/>
              <w:t>(RSRessourceSlettetTid)</w:t>
              <w:br/>
              <w:t>RSRessourceTimestampVersion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 i ressourcestyringen, kan være en medarbejder, et køretøj, et lokale eller andet udstyr. Alle ressourcer tilhører en ressourcegruppe og har en kalender. Medarbejder ressourcer har desuden en medarbejderprofil.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SlotStruktur</w:t>
            </w:r>
            <w:bookmarkStart w:name="Slo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SlotID</w:t>
              <w:br/>
              <w:t>SlotKalenderID</w:t>
              <w:br/>
              <w:t>(SlotArbejdsstedID)</w:t>
              <w:br/>
              <w:t>(SlotOpgaveID)</w:t>
              <w:br/>
              <w:t>(SlotPræferenceID)</w:t>
              <w:br/>
              <w:t>SlotSlotType</w:t>
              <w:br/>
              <w:t>(SlotSlotKategori)</w:t>
              <w:br/>
              <w:t>(SlotOriginalDato)</w:t>
              <w:br/>
              <w:t>SlotStartDatoTid</w:t>
              <w:br/>
              <w:t>SlotSlutDatoTid</w:t>
              <w:br/>
              <w:t>(SlotVidne)</w:t>
              <w:br/>
              <w:t>(SlotNavn)</w:t>
              <w:br/>
              <w:t>(SlotBeskrivelse)</w:t>
              <w:br/>
              <w:t>(SlotExchangeID)</w:t>
              <w:br/>
              <w:t>(SlotExchangeChangeKey)</w:t>
              <w:br/>
              <w:t>SlotOprettetAf</w:t>
              <w:br/>
              <w:t>SlotOprettetTid</w:t>
              <w:br/>
              <w:t>(SlotÆndretAf)</w:t>
              <w:br/>
              <w:t>(SlotÆndretTid)</w:t>
              <w:br/>
              <w:t>(SlotSlettetAf)</w:t>
              <w:br/>
              <w:t>(SlotSlettetTid)</w:t>
              <w:br/>
              <w:t>SlotTimestampVersion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Et slot er et tidsrum i en kalender i Ressourcestyring. Et slot kan være fem forskellige ting: aftale, privat aftale, præference, frokost og mødetid.</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AdresseAnvendelseKode</w:t>
            </w:r>
            <w:bookmarkStart w:name="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Kode som angiver adresseringsmuligheder.</w:t>
              <w:br/>
              <w:t>0 = Adressen kan anvendes til direkte adressering</w:t>
              <w:br/>
              <w:t>1 = Adressen kan ikke anvendes til direkte adressering</w:t>
              <w:br/>
              <w:t>8 = Adressen består kun af navn</w:t>
              <w:br/>
              <w:t>9 = Ingen adresse pga. nyt personnummer</w:t>
              <w:br/>
              <w:t/>
              <w:br/>
              <w:t>Værdisæt:</w:t>
              <w:br/>
              <w:t>0</w:t>
              <w:br/>
              <w:t>1</w:t>
              <w:br/>
              <w:t>8</w:t>
              <w:br/>
              <w:t>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AdresseLigeUlige</w:t>
            </w:r>
            <w:bookmarkStart w:name="AdresseLigeUlig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[a-zA-ZøæåØÆÅ]*</w:t>
              <w:br/>
              <w:t>enumeration: Lige, Ulige</w:t>
            </w:r>
          </w:p>
        </w:tc>
        <w:tc>
          <w:tcPr>
            <w:tcW w:type="dxa" w:w="4391"/>
            <w:tcMar>
              <w:top w:type="dxa" w:w="57"/>
              <w:bottom w:type="dxa" w:w="57"/>
            </w:tcMar>
          </w:tcPr>
          <w:p>
            <w:pPr>
              <w:rPr>
                <w:rFonts w:ascii="Arial" w:cs="Arial" w:hAnsi="Arial"/>
                <w:sz w:val="18"/>
              </w:rPr>
            </w:pPr>
            <w:r>
              <w:rPr>
                <w:rFonts w:ascii="Arial" w:cs="Arial" w:hAnsi="Arial"/>
                <w:sz w:val="18"/>
              </w:rPr>
              <w:t/>
              <w:t>Angivelse om tal er lige eller ulige.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ArbejdsstedID</w:t>
            </w:r>
            <w:bookmarkStart w:name="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Arbejdsstedets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ArbejdsstedOprettetAf</w:t>
            </w:r>
            <w:bookmarkStart w:name="Arbejdssted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arbejdsstedet.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ArbejdsstedOprettetTid</w:t>
            </w:r>
            <w:bookmarkStart w:name="Arbejdssted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ArbejdsstedSlettetAf</w:t>
            </w:r>
            <w:bookmarkStart w:name="Arbejdssted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arbejdsstedet.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ArbejdsstedSlettetTid</w:t>
            </w:r>
            <w:bookmarkStart w:name="Arbejdssted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ArbejdsstedTimestampVersion</w:t>
            </w:r>
            <w:bookmarkStart w:name="Arbejdssted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arbejdsstedet,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ArbejdsstedÆndretAf</w:t>
            </w:r>
            <w:bookmarkStart w:name="Arbejdssted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arbejdsstedet.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ArbejdsstedÆndretTid</w:t>
            </w:r>
            <w:bookmarkStart w:name="Arbejdssted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arbejdsstedet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OpgaveAfvisningAfvistAf</w:t>
            </w:r>
            <w:bookmarkStart w:name="OpgaveAfvisningAfvis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afvist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OpgaveAfvisningAfvistTid</w:t>
            </w:r>
            <w:bookmarkStart w:name="OpgaveAfvisningAfvis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afvist.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OpgaveAfvisningID</w:t>
            </w:r>
            <w:bookmarkStart w:name="OpgaveAfvis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Afvisningens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OpgaveAfvisningMedarbejderprofilID</w:t>
            </w:r>
            <w:bookmarkStart w:name="OpgaveAfvisningMedarbejderprofil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en medarbejderprofil.</w:t>
              <w:br/>
              <w:t>I en afvisning er det muligt at henvise til en anden medarbejder og anmode denne medarbejder om at løse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OpgaveAfvisningOpgaveID</w:t>
            </w:r>
            <w:bookmarkStart w:name="OpgaveAfvisning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unitkke ID på den opgave som afvisningen er tilknyttet.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OpgaveAfvisningSlettetAf</w:t>
            </w:r>
            <w:bookmarkStart w:name="OpgaveAfvisning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afvisningen.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OpgaveAfvisningSlettetTid</w:t>
            </w:r>
            <w:bookmarkStart w:name="OpgaveAfvisning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afvisningen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OpgaveAfvisningTekst</w:t>
            </w:r>
            <w:bookmarkStart w:name="OpgaveAfvisnin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I teksten er der mulighed for at angive en årsag til afvisningen.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OpgaveAfvisningTimestampVersion</w:t>
            </w:r>
            <w:bookmarkStart w:name="OpgaveAfvisning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afvisningen, det kan både være oprettelse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OpgavekøBeskrivelse</w:t>
            </w:r>
            <w:bookmarkStart w:name="Opgavekø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opgavekøen. Eventuelt en beskrivelse af de opgaver der kan lande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OpgavekøDomæne</w:t>
            </w:r>
            <w:bookmarkStart w:name="Opgavekø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opgavekøen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OpgavekøFrigivet</w:t>
            </w:r>
            <w:bookmarkStart w:name="OpgavekøFrigiv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køen er frigivet til produktion. Hvis opgavekøen ikke er frigivet, bliver der ikke placeret opgaver på køen.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OpgavekøGyldigFra</w:t>
            </w:r>
            <w:bookmarkStart w:name="Opgavekø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for opgavekøens gyldighed, dvs. hvornår er køen åben for at modtage opgaver.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OpgavekøGyldigTil</w:t>
            </w:r>
            <w:bookmarkStart w:name="Opgavekø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for opgavekøens gyldighed, der kan ikke placeres opgaver på køens hvis gennemførselsfristen overskrider køens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OpgavekøID</w:t>
            </w:r>
            <w:bookmarkStart w:nam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Opgavekøens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OpgavekøNavn</w:t>
            </w:r>
            <w:bookmarkStart w:name="Opgavekø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Opgavekøens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OpgavekøOprettetAf</w:t>
            </w:r>
            <w:bookmarkStart w:name="Opgavekø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opgavekøen.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OpgavekøOprettetTid</w:t>
            </w:r>
            <w:bookmarkStart w:name="Opgavekø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OpgavekøPrioritet</w:t>
            </w:r>
            <w:bookmarkStart w:name="Opgavekø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Opgavekøens prioritet. Hvis en opgave kan lande på to køer, er det opgavekøen med den højeste prioritet der modtager opgaven. Der kan ikke være to køer med samme prioritet indenfor samme domæne. Det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OpgavekøSlettetAf</w:t>
            </w:r>
            <w:bookmarkStart w:name="Opgavekø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opgavekøen.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OpgavekøSlettetTid</w:t>
            </w:r>
            <w:bookmarkStart w:name="Opgavekø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OpgavekøTimestampVersion</w:t>
            </w:r>
            <w:bookmarkStart w:name="Opgavekø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opgavekøen,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OpgavekøÆndretAf</w:t>
            </w:r>
            <w:bookmarkStart w:name="Opgavekø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Den unikke DN på den ressource (medarbejder) der har ændret elementet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OpgavekøÆndretTid</w:t>
            </w:r>
            <w:bookmarkStart w:name="Opgavekø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opgavekøen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OpgavetypeBookingInterval</w:t>
            </w:r>
            <w:bookmarkStart w:name="Opgavetyp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minutter der minimum skal gå mellem hvert bookingforsøg.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OpgavetypeBookingSvarDage</w:t>
            </w:r>
            <w:bookmarkStart w:name="Opgavetyp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før aftaledagen, bookingsvaret skal sendes.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OpgavetypeDomæne</w:t>
            </w:r>
            <w:bookmarkStart w:name="Opgavetyp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opgavetypen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OpgavetypeGennemførselsfrist</w:t>
            </w:r>
            <w:bookmarkStart w:name="Opgavetyp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maksimalt må gå før opgaven er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OpgavetypeGennemførselstid</w:t>
            </w:r>
            <w:bookmarkStart w:name="Opgavetyp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Tid i minutter som det tager at gennemføre opgaven. Gennemførselstiden kan overskrives i opgaven. Desuden har medarbejderen, i sin medarbejderprofil,  mulighed for at konfigurere sin egen gennemførselstid for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OpgavetypeGyldigFra</w:t>
            </w:r>
            <w:bookmarkStart w:name="Opgav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OpgavetypeGyldigTil</w:t>
            </w:r>
            <w:bookmarkStart w:name="Opgav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 for opgavetypens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OpgavetypeHentYderligereInfo</w:t>
            </w:r>
            <w:bookmarkStart w:name="OpgavetypeHentYderligereInfo"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 domænespecifikke oplysninger skal hentes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OpgavetypeKundeAfhængig</w:t>
            </w:r>
            <w:bookmarkStart w:name="OpgavetypeKundeAfhæng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aftalen involverer et personligt møde med kunden, enten på skattecenteret eller hos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OpgavetypeLinkTilSag</w:t>
            </w:r>
            <w:bookmarkStart w:name="OpgavetypeLinkTil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 til stedet i portalen hvor opgaven kan løses. Det endelige link, som vises på skærmen, vil være en sammensætning af linket i opgavetypen og linkparametrene i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OpgavetypeOpgaveKategori</w:t>
            </w:r>
            <w:bookmarkStart w:name="OpgavetypeOpgav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3</w:t>
              <w:br/>
              <w:t>minInclusive: 1</w:t>
            </w:r>
          </w:p>
        </w:tc>
        <w:tc>
          <w:tcPr>
            <w:tcW w:type="dxa" w:w="4391"/>
            <w:tcMar>
              <w:top w:type="dxa" w:w="57"/>
              <w:bottom w:type="dxa" w:w="57"/>
            </w:tcMar>
          </w:tcPr>
          <w:p>
            <w:pPr>
              <w:rPr>
                <w:rFonts w:ascii="Arial" w:cs="Arial" w:hAnsi="Arial"/>
                <w:sz w:val="18"/>
              </w:rPr>
            </w:pPr>
            <w:r>
              <w:rPr>
                <w:rFonts w:ascii="Arial" w:cs="Arial" w:hAnsi="Arial"/>
                <w:sz w:val="18"/>
              </w:rPr>
              <w:t/>
              <w:t>Opgavekategorien som opgaven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OpgavetypeOprettetAf</w:t>
            </w:r>
            <w:bookmarkStart w:name="Opgavetyp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opgavetypen.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OpgavetypeOprettetTid</w:t>
            </w:r>
            <w:bookmarkStart w:name="Opgavetyp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OpgavetypePoint</w:t>
            </w:r>
            <w:bookmarkStart w:name="Opgavetyp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point medarbejderen vil modtage når opgaven er løst.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OpgavetypePrioritet</w:t>
            </w:r>
            <w:bookmarkStart w:name="Opgavetyp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Opgavetypens prioritet. Anvendes bl.a. på opgavelisten for at få vist de vigtigste opgaver øverst i listen. Kan overskrives på opgaven. Højeste tal er ensbetydende med højeste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OpgavetypeSandsynlighed</w:t>
            </w:r>
            <w:bookmarkStart w:name="Opgavetyp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OpgavetypeSlettetAf</w:t>
            </w:r>
            <w:bookmarkStart w:name="Opgavetyp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opgavetypen.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OpgavetypeSlettetTid</w:t>
            </w:r>
            <w:bookmarkStart w:name="Opgavetyp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OpgavetypeTimestampVersion</w:t>
            </w:r>
            <w:bookmarkStart w:name="Opgavetyp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opgavetypen,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OpgavetypeUdgående</w:t>
            </w:r>
            <w:bookmarkStart w:name="OpgavetypeUdgåe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at det er en udgående opgave, dvs. sagsbehandleren skal køre ud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OpgavetypeVentedage</w:t>
            </w:r>
            <w:bookmarkStart w:name="Opgavetyp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Antallet af dage der skal gå fra opgaven er oprettet til den tidligst må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OpgavetypeÆndretAf</w:t>
            </w:r>
            <w:bookmarkStart w:name="Opgavetyp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opgavetypen.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OpgavetypeÆndretTid</w:t>
            </w:r>
            <w:bookmarkStart w:name="Opgavetyp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opgavetypen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ReturnerKunOpgaveMarkering</w:t>
            </w:r>
            <w:bookmarkStart w:name="ReturnerKunOpgav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RSRessourceBeskrivelse</w:t>
            </w:r>
            <w:bookmarkStart w:name="RSRessourc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ressourcen.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RSRessourceGyldigFra</w:t>
            </w:r>
            <w:bookmarkStart w:name="RSRessourc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Startdatoen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RSRessourceGyldigTil</w:t>
            </w:r>
            <w:bookmarkStart w:name="RSRessourc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Slutdatoen på ressourcens gyldighedsperiode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RSRessourceNavn</w:t>
            </w:r>
            <w:bookmarkStart w:name="RSRessourc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Ressourcens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RSRessourceOprettetAf</w:t>
            </w:r>
            <w:bookmarkStart w:name="RSRessourc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ressourcen.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RSRessourceOprettetTid</w:t>
            </w:r>
            <w:bookmarkStart w:name="RSRessourc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RSRessourceRessourcegruppeID</w:t>
            </w:r>
            <w:bookmarkStart w:name="RSRessourceRessourcegrup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ressourcegruppe medarbejderen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RSRessourceSlettetAf</w:t>
            </w:r>
            <w:bookmarkStart w:name="RSRessourc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ressourcen.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RSRessourceSlettetTid</w:t>
            </w:r>
            <w:bookmarkStart w:name="RSRessourc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RSRessourceTimestampVersion</w:t>
            </w:r>
            <w:bookmarkStart w:name="RSRessourc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ressourcen,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RSRessourceÆndretAf</w:t>
            </w:r>
            <w:bookmarkStart w:name="RSRessourc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ressourcen.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RSRessourceÆndretTid</w:t>
            </w:r>
            <w:bookmarkStart w:name="RSRessourc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ressourcen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SlotArbejdsstedID</w:t>
            </w:r>
            <w:bookmarkStart w:name="SlotArbejdssted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det arbejdssted der kan være sat på et præferenceslot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SlotBeskrivelse</w:t>
            </w:r>
            <w:bookmarkStart w:name="Slot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slottet.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SlotExchangeChangeKey</w:t>
            </w:r>
            <w:bookmarkStart w:name="SlotExchangeChangeKey"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Anvendes hvis slottet er synkroniseret med Microsoft Exchange.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SlotExchangeID</w:t>
            </w:r>
            <w:bookmarkStart w:name="SlotExchang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Slottets ID i Microsoft Exchange serveren. Anvendes af aftale slots når de er synkroniseret med Microsoft Exchange.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SlotID</w:t>
            </w:r>
            <w:bookmarkStart w:name="Slo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Slottets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SlotKalenderID</w:t>
            </w:r>
            <w:bookmarkStart w:name="SlotKalend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kalender slottet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SlotNavn</w:t>
            </w:r>
            <w:bookmarkStart w:name="Slo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Slottets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SlotOpgaveID</w:t>
            </w:r>
            <w:bookmarkStart w:name="Slot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 anvendes kun hvis slottet er et aftaleslot.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SlotOprettetAf</w:t>
            </w:r>
            <w:bookmarkStart w:name="Slot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slottet.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SlotOprettetTid</w:t>
            </w:r>
            <w:bookmarkStart w:name="Slot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SlotOriginalDato</w:t>
            </w:r>
            <w:bookmarkStart w:name="SlotOrigina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SlotPræferenceID</w:t>
            </w:r>
            <w:bookmarkStart w:name="SlotPræferen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Præferencens unikke ID, anvendes kun hvis slottet er et præferenceslot.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SlotSlettetAf</w:t>
            </w:r>
            <w:bookmarkStart w:name="Slot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slottet.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SlotSlettetTid</w:t>
            </w:r>
            <w:bookmarkStart w:name="Slot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SlotSlotKategori</w:t>
            </w:r>
            <w:bookmarkStart w:name="SlotSlot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5</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kalender slottet tilhører.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SlotSlotType</w:t>
            </w:r>
            <w:bookmarkStart w:name="SlotSlot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5</w:t>
              <w:br/>
              <w:t>minInclusive: 1</w:t>
            </w:r>
          </w:p>
        </w:tc>
        <w:tc>
          <w:tcPr>
            <w:tcW w:type="dxa" w:w="4391"/>
            <w:tcMar>
              <w:top w:type="dxa" w:w="57"/>
              <w:bottom w:type="dxa" w:w="57"/>
            </w:tcMar>
          </w:tcPr>
          <w:p>
            <w:pPr>
              <w:rPr>
                <w:rFonts w:ascii="Arial" w:cs="Arial" w:hAnsi="Arial"/>
                <w:sz w:val="18"/>
              </w:rPr>
            </w:pPr>
            <w:r>
              <w:rPr>
                <w:rFonts w:ascii="Arial" w:cs="Arial" w:hAnsi="Arial"/>
                <w:sz w:val="18"/>
              </w:rPr>
              <w:t/>
              <w:t>Slottets 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SlotSlutDatoTid</w:t>
            </w:r>
            <w:bookmarkStart w:name="SlotSlu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slutdato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SlotTimestampVersion</w:t>
            </w:r>
            <w:bookmarkStart w:name="Slot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slottet,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SlotVidne</w:t>
            </w:r>
            <w:bookmarkStart w:name="SlotVidn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slottet er et vidne slot. Anvendes kun af aftaleslots, når medarbejderen er vidne.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SlotÆndretAf</w:t>
            </w:r>
            <w:bookmarkStart w:name="Slot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slottet.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SlotÆndretTid</w:t>
            </w:r>
            <w:bookmarkStart w:name="Slot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slottet er blevet ændret.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RSOpgaveHent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