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KommunikationAftaleHent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AogD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kommunikationsaftale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 hentes enten ud fra kundenummer eller ud fra aftalenummer, men kalderen starter altid med at tage udgangspunkt i kunden.</w:t>
              <w:br/>
              <w:t/>
              <w:br/>
              <w:t>Aftalen indeholder kundens valg af sprog, evt. kunderepræsentantforhold, liste af præferencer samt en kommunikationsmappe.</w:t>
              <w:br/>
              <w:t/>
              <w:br/>
              <w:t>For kunderepræsentantforholdenes aftaler og kommunikationsmappen returneres en transitiv nøgle, der efterfølgende kan bruges i kald af KommunikationMappeHent.</w:t>
              <w:br/>
              <w:t/>
              <w:br/>
              <w:t>Servicen returnerer desuden antallet af meddelelser under aftalen (pt.).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KommunikationAftaleHent_I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KommunikationAftaleHent_O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KommunikationAftaleSprog</w:t>
              <w:br/>
              <w:t>KommunikationAftaleSamtykke</w:t>
              <w:br/>
              <w:t>KommunikationAftaleGyldigFra</w:t>
              <w:br/>
              <w:t>(KommunikationAftaleGyldigTil)</w:t>
              <w:br/>
              <w:t>*KommunikationPræferencListe*</w:t>
              <w:br/>
              <w:t>0{</w:t>
              <w:br/>
              <w:t/>
              <w:tab/>
              <w:t>*KommunikationPræference*</w:t>
              <w:br/>
              <w:t/>
              <w:tab/>
              <w:t>[</w:t>
              <w:br/>
              <w:t/>
              <w:tab/>
              <w:t/>
              <w:tab/>
              <w:t>(MeddelelseTypeNummer)</w:t>
              <w:br/>
              <w:t/>
              <w:tab/>
              <w:t/>
              <w:tab/>
              <w:t>*MeddelelseKanal*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KanalAdresseIndex</w:t>
              <w:br/>
              <w:t/>
              <w:tab/>
              <w:t/>
              <w:tab/>
              <w:t/>
              <w:tab/>
              <w:t>KanalTypeNummer</w:t>
              <w:br/>
              <w:t/>
              <w:tab/>
              <w:t/>
              <w:tab/>
              <w:t/>
              <w:tab/>
              <w:t>(KanalAdresseStruktur)</w:t>
              <w:br/>
              <w:t/>
              <w:tab/>
              <w:t/>
              <w:tab/>
              <w:t/>
              <w:tab/>
              <w:t>KanalAdresseAktivMarkering</w:t>
              <w:br/>
              <w:t/>
              <w:tab/>
              <w:t/>
              <w:tab/>
              <w:t/>
              <w:tab/>
              <w:t>KanalAdresseFejlmarkeret</w:t>
              <w:br/>
              <w:t/>
              <w:tab/>
              <w:t/>
              <w:tab/>
              <w:t>]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*AdvisKanal*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KanalAdresseIndex</w:t>
              <w:br/>
              <w:t/>
              <w:tab/>
              <w:t/>
              <w:tab/>
              <w:t/>
              <w:tab/>
              <w:t/>
              <w:tab/>
              <w:t>KanalTypeNummer</w:t>
              <w:br/>
              <w:t/>
              <w:tab/>
              <w:t/>
              <w:tab/>
              <w:t/>
              <w:tab/>
              <w:t/>
              <w:tab/>
              <w:t>KanalAdresseStruktur</w:t>
              <w:br/>
              <w:t/>
              <w:tab/>
              <w:t/>
              <w:tab/>
              <w:t/>
              <w:tab/>
              <w:t/>
              <w:tab/>
              <w:t>KanalAdresseAktivMarkering</w:t>
              <w:br/>
              <w:t/>
              <w:tab/>
              <w:t/>
              <w:tab/>
              <w:t/>
              <w:tab/>
              <w:t/>
              <w:tab/>
              <w:t>KanalAdresseFejlmarkeret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KommunikationPræferenceGyldigFra</w:t>
              <w:br/>
              <w:t/>
              <w:tab/>
              <w:t/>
              <w:tab/>
              <w:t>KommunikationPræferenceGyldigTil</w:t>
              <w:br/>
              <w:t/>
              <w:tab/>
              <w:t/>
              <w:tab/>
              <w:t>KommunikationPræferenceNiveau</w:t>
              <w:br/>
              <w:t/>
              <w:tab/>
              <w:t/>
              <w:tab/>
              <w:t>(MeddelelseTypeGruppeNavn)</w:t>
              <w:br/>
              <w:t/>
              <w:tab/>
              <w:t/>
              <w:tab/>
              <w:t>(MeddelelseTypeNavn)</w:t>
              <w:br/>
              <w:t/>
              <w:tab/>
              <w:t>]</w:t>
              <w:br/>
              <w:t>}</w:t>
              <w:br/>
              <w:t>KommunikationAftaleMeddelelseAntal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laves i SKAT XML</w:t>
              <w:br/>
              <w:t>Skal udstilles til kald fra SKAT IP</w:t>
              <w:br/>
              <w:t/>
              <w:br/>
              <w:t>Fejlsituationer:</w:t>
              <w:br/>
              <w:t>- Kunde findes ikke</w:t>
              <w:br/>
              <w:t>- Kommunikationsaftale findes ikke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EmailAdresseStruktur</w:t>
            </w:r>
            <w:bookmarkStart w:name="Emai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*EmailAdresse*</w:t>
              <w:br/>
              <w:t>[</w:t>
              <w:br/>
              <w:t/>
              <w:tab/>
              <w:t>(EmailAdresseEmail)</w:t>
              <w:br/>
              <w:t/>
              <w:tab/>
              <w:t>(EmailAdresseGyldigFra)</w:t>
              <w:br/>
              <w:t/>
              <w:tab/>
              <w:t>(EmailAdresseGyldigTil)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FaxNummerStruktur</w:t>
            </w:r>
            <w:bookmarkStart w:name="Fax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*FaxNummer*</w:t>
              <w:br/>
              <w:t>[</w:t>
              <w:br/>
              <w:t/>
              <w:tab/>
              <w:t>(FaxNummer)</w:t>
              <w:br/>
              <w:t/>
              <w:tab/>
              <w:t>(FaxLandeKode)</w:t>
              <w:br/>
              <w:t/>
              <w:tab/>
              <w:t>(FaxGyldigFra)</w:t>
              <w:br/>
              <w:t/>
              <w:tab/>
              <w:t>(FaxGyldigTil)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KanalAdresseStruktur</w:t>
            </w:r>
            <w:bookmarkStart w:name="Kanal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*AdresseValg*</w:t>
              <w:br/>
              <w:t>[</w:t>
              <w:br/>
              <w:t/>
              <w:tab/>
              <w:t>AdresseStruktur</w:t>
              <w:br/>
              <w:t/>
              <w:tab/>
              <w:t>|</w:t>
              <w:br/>
              <w:t/>
              <w:tab/>
              <w:t>AlternativAdresseStruktur</w:t>
              <w:br/>
              <w:t/>
              <w:tab/>
              <w:t>|</w:t>
              <w:br/>
              <w:t/>
              <w:tab/>
              <w:t>TelefonNummerStruktur</w:t>
              <w:br/>
              <w:t/>
              <w:tab/>
              <w:t>|</w:t>
              <w:br/>
              <w:t/>
              <w:tab/>
              <w:t>EmailAdresseStruktur</w:t>
              <w:br/>
              <w:t/>
              <w:tab/>
              <w:t>|</w:t>
              <w:br/>
              <w:t/>
              <w:tab/>
              <w:t>FaxNummerStruktur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TelefonNummerStruktur</w:t>
            </w:r>
            <w:bookmarkStart w:name="Telefon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*TelefonNummerStruktur*</w:t>
              <w:br/>
              <w:t>[</w:t>
              <w:br/>
              <w:t/>
              <w:tab/>
              <w:t>(TelefonNummer)</w:t>
              <w:br/>
              <w:t/>
              <w:tab/>
              <w:t>(TelefonLandeKode)</w:t>
              <w:br/>
              <w:t/>
              <w:tab/>
              <w:t>(TelefonGyldigFra)</w:t>
              <w:br/>
              <w:t/>
              <w:tab/>
              <w:t>(TelefonGyldigTil)</w:t>
              <w:br/>
              <w:t/>
              <w:tab/>
              <w:t>(TelefonTypeKode)</w:t>
              <w:br/>
              <w:t/>
              <w:tab/>
              <w:t>(TelefonTypeTekst)</w:t>
              <w:br/>
              <w:t/>
              <w:tab/>
              <w:t>(TelefonTypeGyldigFra)</w:t>
              <w:br/>
              <w:t/>
              <w:tab/>
              <w:t>(TelefonTypeGyldigTil)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EmailAdresseGyldigFra</w:t>
            </w:r>
            <w:bookmarkStart w:name="Email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EmailAdresseGyldigTil</w:t>
            </w:r>
            <w:bookmarkStart w:name="Email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FaxGyldigFra</w:t>
            </w:r>
            <w:bookmarkStart w:name="Fax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FaxGyldigTil</w:t>
            </w:r>
            <w:bookmarkStart w:name="Fax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FaxLandeKode</w:t>
            </w:r>
            <w:bookmarkStart w:name="Fax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KanalAdresseAktivMarkering</w:t>
            </w:r>
            <w:bookmarkStart w:name="KanalAdresseAktiv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KanalAdresseFejlmarkeret</w:t>
            </w:r>
            <w:bookmarkStart w:name="KanalAdresseFejlmarke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en SMS eller e-mail kanaladresse er fejlet to gange, skal denne adresse markeres som fejlbehæftet, således at denne ikke anvendes igen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KanalAdresseIndex</w:t>
            </w:r>
            <w:bookmarkStart w:name="KanalAdresseInde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Nummerering af kommunikationsaftalers kanaladresser.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KanalTypeNummer</w:t>
            </w:r>
            <w:bookmarkStart w:name="Kanal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som identificerer typen af kommunikationskanal</w:t>
              <w:br/>
              <w:t/>
              <w:br/>
              <w:t>Værdisæt:</w:t>
              <w:br/>
              <w:t>1 = Mail</w:t>
              <w:br/>
              <w:t>2 = Sms</w:t>
              <w:br/>
              <w:t>3 = Kun kommunikationsmappe</w:t>
              <w:br/>
              <w:t>4 = Brev (post)</w:t>
              <w:br/>
              <w:t>5 = Dokumentboks (ikke implementeret)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KommunikationAftaleGyldigFra</w:t>
            </w:r>
            <w:bookmarkStart w:name="KommunikationAftal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 dato for en kommunikationsaftale.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KommunikationAftaleGyldigTil</w:t>
            </w:r>
            <w:bookmarkStart w:name="KommunikationAftal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 dato for en kommunikationsaftale.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KommunikationAftaleMeddelelseAntal</w:t>
            </w:r>
            <w:bookmarkStart w:name="KommunikationAftaleMeddelelseAn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Generisk type til at indikere antal af ting.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KommunikationAftaleSamtykke</w:t>
            </w:r>
            <w:bookmarkStart w:name="KommunikationAftaleSamtykk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kunden har afgivet samtykke til anvendelse af andre kanaladresser end brev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KommunikationAftaleSprog</w:t>
            </w:r>
            <w:bookmarkStart w:name="KommunikationAftaleSpro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Sprogpræferencer i forbindelse med mundtlig kommunikation og udsendelse af meddelelser.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KommunikationPræferenceGyldigFra</w:t>
            </w:r>
            <w:bookmarkStart w:name="KommunikationPræferen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Samtykkets gyldighed - start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KommunikationPræferenceGyldigTil</w:t>
            </w:r>
            <w:bookmarkStart w:name="KommunikationPræferen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Samtykkets gyldighed - slut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KommunikationPræferenceNiveau</w:t>
            </w:r>
            <w:bookmarkStart w:name="KommunikationPræferenceNiveau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præferencens gyldighedsområde: Alle meddelelsestyper, en specifik meddelelsestypegruppe, eller en specifik meddelelsestype</w:t>
              <w:br/>
              <w:t/>
              <w:br/>
              <w:t>Værdisæt:</w:t>
              <w:br/>
              <w:t>1=Generelt</w:t>
              <w:br/>
              <w:t>2=Gruppe</w:t>
              <w:br/>
              <w:t>3=Type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MeddelelseTypeGruppeNavn</w:t>
            </w:r>
            <w:bookmarkStart w:name="MeddelelseTyp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MeddelelseTypeNavn</w:t>
            </w:r>
            <w:bookmarkStart w:name="Meddelels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meddelelsestypen.</w:t>
              <w:br/>
              <w:t>Se liste over værdier.</w:t>
              <w:br/>
              <w:t/>
              <w:br/>
              <w:t>Værdisæt:</w:t>
              <w:br/>
              <w:t>Påmindelsesmail I</w:t>
              <w:br/>
              <w:t>Påmindelsesmail II</w:t>
              <w:br/>
              <w:t>Påmindelsesmail III</w:t>
              <w:br/>
              <w:t>FF brev</w:t>
              <w:br/>
              <w:t>Importspecifikationer</w:t>
              <w:br/>
              <w:t>Korrektionsangivelser</w:t>
              <w:br/>
              <w:t>Ny angivelsesfrevkvens</w:t>
              <w:br/>
              <w:t>KundeRepræsentant har indberettet</w:t>
              <w:br/>
              <w:t>Samtykke erklæring</w:t>
              <w:br/>
              <w:t>Samtykke erklæring trukket tilbage</w:t>
              <w:br/>
              <w:t>Advis ajourfør Kommunikationsaftale</w:t>
              <w:br/>
              <w:t>Advis Tilknyttet KundeRepræsentant periode ved at udløbe</w:t>
              <w:br/>
              <w:t>Slutdato for tilknyttet KundeRepræsentant periode er udløbet</w:t>
              <w:br/>
              <w:t>Afdragsordning</w:t>
              <w:br/>
              <w:t>Modregningsmeddelelse</w:t>
              <w:br/>
              <w:t>Rykkerbrev</w:t>
              <w:br/>
              <w:t>LS-betalingsfil</w:t>
              <w:br/>
              <w:t>BS-betalingsfil</w:t>
              <w:br/>
              <w:t>Udsending af udbetaling fra EFI til NemKonto</w:t>
              <w:br/>
              <w:t>Udsending af OBS-fil til SKB</w:t>
              <w:br/>
              <w:t>Opkrævning nyreg/ejerskifte</w:t>
              <w:br/>
              <w:t>Opkrævning vedr. registreringsafgift</w:t>
              <w:br/>
              <w:t>Opkrævning vedr. registreringsafgift månedlig</w:t>
              <w:br/>
              <w:t>Errindringsmeddelelse</w:t>
              <w:br/>
              <w:t>Rykker</w:t>
              <w:br/>
              <w:t>Advis vedr. tilbagebetaling af overskydende afgift</w:t>
              <w:br/>
              <w:t>Tilbagebetaling af overskydende afgift v/check</w:t>
              <w:br/>
              <w:t>Registreringsattest</w:t>
              <w:br/>
              <w:t>Meddelelse om forsikrings ophør</w:t>
              <w:br/>
              <w:t>Meddelelse til registreret ejer vedr. ejerskifte</w:t>
              <w:br/>
              <w:t>Meddelelse til registreret ejer vedr. afmeldning</w:t>
              <w:br/>
              <w:t>Meddelelse vedr. inddragelse af nummerplade</w:t>
              <w:br/>
              <w:t>EFI tiltag</w:t>
              <w:br/>
              <w:t>EFI tiltag</w:t>
              <w:br/>
              <w:t>Tilsig restant</w:t>
              <w:br/>
              <w:t>Meddel Fordringshaver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MeddelelseTypeNummer</w:t>
            </w:r>
            <w:bookmarkStart w:name="MeddelelseTy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af den enkelte meddelelsestype.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TelefonGyldigFra</w:t>
            </w:r>
            <w:bookmarkStart w:name="Telefo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TelefonGyldigTil</w:t>
            </w:r>
            <w:bookmarkStart w:name="Telefo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TelefonLandeKode</w:t>
            </w:r>
            <w:bookmarkStart w:name="TelefonLand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</w:t>
              <w:br/>
              <w:t>pattern: [+][0-9]{2}|[+][0-9]{3}|[0][0][0-9]{2}|[0][0][0-9]{3}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Telefon- og faxnummer landekode. Fx +45 eller 0045. Selve telefonnummeret indgår ikke.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TelefonTypeGyldigFra</w:t>
            </w:r>
            <w:bookmarkStart w:name="Telefon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TelefonTypeGyldigTil</w:t>
            </w:r>
            <w:bookmarkStart w:name="Telefon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TelefonTypeKode</w:t>
            </w:r>
            <w:bookmarkStart w:name="Telefon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kode som beskriver telefonnummeret.</w:t>
              <w:br/>
              <w:t>Der findes pt. disse i Erhvervssystemet: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  <w:br/>
              <w:t/>
              <w:br/>
              <w:t>Værdisæt:</w:t>
              <w:br/>
              <w:t>1 = Telefon</w:t>
              <w:br/>
              <w:t>2 = Telefax</w:t>
              <w:br/>
              <w:t>3 = Mobil</w:t>
              <w:br/>
              <w:t>4 = Elektronisk post</w:t>
              <w:br/>
              <w:t>5 = Udenlandsk telefon</w:t>
              <w:br/>
              <w:t>6 = Udenlandsk telefax</w:t>
              <w:br/>
              <w:t>7 = Udenlandsk mobil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TelefonTypeTekst</w:t>
            </w:r>
            <w:bookmarkStart w:name="Telefon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Kort beskrivelse af koden. Se dokumentation på koden.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KommunikationAftaleHent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