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SagOpret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Workzone</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25-04-2017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Formålet er at oprette en ny sag i Captia.</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 denne service kan man oprette en sag i Captia (oprette et nyt sagsnummer) med tilhørende sagsoplysninger.</w:t>
              <w:br/>
              <w:t/>
              <w:br/>
              <w:t>VIGTIGT: Man kan ikke oprette eller tilknytte dokumenter på sagen (fx sagsakter) via denne service. Hertil skal anvendes DokumentMultiOpret eller SagOpdater.</w:t>
              <w:br/>
              <w:t/>
              <w:br/>
              <w:t>En sag skal altid omfatte:</w:t>
              <w:br/>
              <w:t>- Sagsprofil eller Sagsprofiloplysninger (myndighed, sagsgruppe, , , proces, handlingsfacet og evt sagsindblik)</w:t>
              <w:br/>
              <w:t>- Sagstitel</w:t>
              <w:br/>
              <w:t/>
              <w:br/>
              <w:t>En sag kan desuden omfatte:</w:t>
              <w:br/>
              <w:t>- Øvrige metadata (UUID, bemærkning, planlagtafslutningsdato, sagsbehandler, oversagsnummer)</w:t>
              <w:br/>
              <w:t>- Liste af sagens parter, herunder rollen for hver part</w:t>
              <w:br/>
              <w:t>- Liste af emneord</w:t>
              <w:br/>
              <w:t>- Liste af erindringer</w:t>
              <w:br/>
              <w:t>- Liste af frie datoer (til fagspecifikke datoer)</w:t>
              <w:br/>
              <w:t>- Liste af frie oplysninger (til fagspecifikke oplysninger)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Uddybning af udvalgte felter:</w:t>
              <w:br/>
              <w:t/>
              <w:b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br/>
              <w:t/>
              <w:br/>
              <w:t>- Organisatoriske Enheder:</w:t>
              <w:br/>
              <w:t>OrganisatoriskEnhedNiveauEt mappes til sag: ansvafd</w:t>
              <w:br/>
              <w:t>OrganisatoriskEnhedNiveauTo mappes til sag: udfafd</w:t>
              <w:br/>
              <w:t>OrganisatoriskEnhedNiveauTre mappes til sag:samarbejde</w:t>
              <w:br/>
              <w:t/>
              <w:br/>
              <w:t>- PartAlternativtID og PartAlternativtIDType:</w:t>
              <w:br/>
              <w:t/>
              <w:br/>
              <w:t>- Frie oplysninger</w:t>
              <w:br/>
              <w:t>Ledetekster oprettes i Captia og skal være kendt på forhånd. Kan bruges på tværs af dokumenter og sager. Der er ingen restriktioner på indholdet.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SagOpret_I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*Sag*</w:t>
              <w:br/>
              <w:t>[</w:t>
              <w:br/>
              <w:t/>
              <w:tab/>
              <w:t>*SagOplysninger*</w:t>
              <w:br/>
              <w:t/>
              <w:tab/>
              <w:t>[</w:t>
              <w:br/>
              <w:t/>
              <w:tab/>
              <w:t/>
              <w:tab/>
              <w:t>*SagProfilValg*</w:t>
              <w:br/>
              <w:t/>
              <w:tab/>
              <w:t/>
              <w:tab/>
              <w:t>[</w:t>
              <w:br/>
              <w:t/>
              <w:tab/>
              <w:t/>
              <w:tab/>
              <w:t/>
              <w:tab/>
              <w:t>SagProfilNavn</w:t>
              <w:br/>
              <w:t/>
              <w:tab/>
              <w:t/>
              <w:tab/>
              <w:t/>
              <w:tab/>
              <w:t>|</w:t>
              <w:br/>
              <w:t/>
              <w:tab/>
              <w:t/>
              <w:tab/>
              <w:t/>
              <w:tab/>
              <w:t>*SagProfilOplysninger*</w:t>
              <w:br/>
              <w:t/>
              <w:tab/>
              <w:t/>
              <w:tab/>
              <w:t/>
              <w:tab/>
              <w:t>[</w:t>
              <w:br/>
              <w:t/>
              <w:tab/>
              <w:t/>
              <w:tab/>
              <w:t/>
              <w:tab/>
              <w:t/>
              <w:tab/>
              <w:t>SagMyndighed</w:t>
              <w:br/>
              <w:t/>
              <w:tab/>
              <w:t/>
              <w:tab/>
              <w:t/>
              <w:tab/>
              <w:t/>
              <w:tab/>
              <w:t>SagGruppe</w:t>
              <w:br/>
              <w:t/>
              <w:tab/>
              <w:t/>
              <w:tab/>
              <w:t/>
              <w:tab/>
              <w:t/>
              <w:tab/>
              <w:t>SagProcesKode</w:t>
              <w:br/>
              <w:t/>
              <w:tab/>
              <w:t/>
              <w:tab/>
              <w:t/>
              <w:tab/>
              <w:t/>
              <w:tab/>
              <w:t>SagHandlingFacet</w:t>
              <w:br/>
              <w:t/>
              <w:tab/>
              <w:t/>
              <w:tab/>
              <w:t/>
              <w:tab/>
              <w:t/>
              <w:tab/>
              <w:t>SagTilstandKode</w:t>
              <w:br/>
              <w:t/>
              <w:tab/>
              <w:t/>
              <w:tab/>
              <w:t/>
              <w:tab/>
              <w:t/>
              <w:tab/>
              <w:t>(SagIndblik)</w:t>
              <w:br/>
              <w:t/>
              <w:tab/>
              <w:t/>
              <w:tab/>
              <w:t/>
              <w:tab/>
              <w:t/>
              <w:tab/>
              <w:t>(</w:t>
              <w:br/>
              <w:t/>
              <w:tab/>
              <w:t/>
              <w:tab/>
              <w:t/>
              <w:tab/>
              <w:t/>
              <w:tab/>
              <w:t/>
              <w:tab/>
              <w:t>*OrganisatoriskEnhedNiveauEt*</w:t>
              <w:br/>
              <w:t/>
              <w:tab/>
              <w:t/>
              <w:tab/>
              <w:t/>
              <w:tab/>
              <w:t/>
              <w:tab/>
              <w:t/>
              <w:tab/>
              <w:t>[</w:t>
              <w:br/>
              <w:t/>
              <w:tab/>
              <w:t/>
              <w:tab/>
              <w:t/>
              <w:tab/>
              <w:t/>
              <w:tab/>
              <w:t/>
              <w:tab/>
              <w:t/>
              <w:tab/>
              <w:t>OrganisatoriskEnhedNummer</w:t>
              <w:br/>
              <w:t/>
              <w:tab/>
              <w:t/>
              <w:tab/>
              <w:t/>
              <w:tab/>
              <w:t/>
              <w:tab/>
              <w:t/>
              <w:tab/>
              <w:t>]</w:t>
              <w:br/>
              <w:t/>
              <w:tab/>
              <w:t/>
              <w:tab/>
              <w:t/>
              <w:tab/>
              <w:t/>
              <w:tab/>
              <w:t>)</w:t>
              <w:br/>
              <w:t/>
              <w:tab/>
              <w:t/>
              <w:tab/>
              <w:t/>
              <w:tab/>
              <w:t/>
              <w:tab/>
              <w:t>(</w:t>
              <w:br/>
              <w:t/>
              <w:tab/>
              <w:t/>
              <w:tab/>
              <w:t/>
              <w:tab/>
              <w:t/>
              <w:tab/>
              <w:t/>
              <w:tab/>
              <w:t>*OrganisatoriskEnhedNiveauTo*</w:t>
              <w:br/>
              <w:t/>
              <w:tab/>
              <w:t/>
              <w:tab/>
              <w:t/>
              <w:tab/>
              <w:t/>
              <w:tab/>
              <w:t/>
              <w:tab/>
              <w:t>[</w:t>
              <w:br/>
              <w:t/>
              <w:tab/>
              <w:t/>
              <w:tab/>
              <w:t/>
              <w:tab/>
              <w:t/>
              <w:tab/>
              <w:t/>
              <w:tab/>
              <w:t/>
              <w:tab/>
              <w:t>OrganisatoriskEnhedNummer</w:t>
              <w:br/>
              <w:t/>
              <w:tab/>
              <w:t/>
              <w:tab/>
              <w:t/>
              <w:tab/>
              <w:t/>
              <w:tab/>
              <w:t/>
              <w:tab/>
              <w:t>]</w:t>
              <w:br/>
              <w:t/>
              <w:tab/>
              <w:t/>
              <w:tab/>
              <w:t/>
              <w:tab/>
              <w:t/>
              <w:tab/>
              <w:t>)</w:t>
              <w:br/>
              <w:t/>
              <w:tab/>
              <w:t/>
              <w:tab/>
              <w:t/>
              <w:tab/>
              <w:t/>
              <w:tab/>
              <w:t>(</w:t>
              <w:br/>
              <w:t/>
              <w:tab/>
              <w:t/>
              <w:tab/>
              <w:t/>
              <w:tab/>
              <w:t/>
              <w:tab/>
              <w:t/>
              <w:tab/>
              <w:t>*OrganisatoriskEnhedNiveauTre*</w:t>
              <w:br/>
              <w:t/>
              <w:tab/>
              <w:t/>
              <w:tab/>
              <w:t/>
              <w:tab/>
              <w:t/>
              <w:tab/>
              <w:t/>
              <w:tab/>
              <w:t>[</w:t>
              <w:br/>
              <w:t/>
              <w:tab/>
              <w:t/>
              <w:tab/>
              <w:t/>
              <w:tab/>
              <w:t/>
              <w:tab/>
              <w:t/>
              <w:tab/>
              <w:t/>
              <w:tab/>
              <w:t>OrganisatoriskEnhedNummer</w:t>
              <w:br/>
              <w:t/>
              <w:tab/>
              <w:t/>
              <w:tab/>
              <w:t/>
              <w:tab/>
              <w:t/>
              <w:tab/>
              <w:t/>
              <w:tab/>
              <w:t>]</w:t>
              <w:br/>
              <w:t/>
              <w:tab/>
              <w:t/>
              <w:tab/>
              <w:t/>
              <w:tab/>
              <w:t/>
              <w:tab/>
              <w:t>)</w:t>
              <w:br/>
              <w:t/>
              <w:tab/>
              <w:t/>
              <w:tab/>
              <w:t/>
              <w:tab/>
              <w:t>]</w:t>
              <w:br/>
              <w:t/>
              <w:tab/>
              <w:t/>
              <w:tab/>
              <w:t>]</w:t>
              <w:br/>
              <w:t/>
              <w:tab/>
              <w:t/>
              <w:tab/>
              <w:t>SagTitel</w:t>
              <w:br/>
              <w:t/>
              <w:tab/>
              <w:t/>
              <w:tab/>
              <w:t>(SagUUID)</w:t>
              <w:br/>
              <w:t/>
              <w:tab/>
              <w:t/>
              <w:tab/>
              <w:t>(SagBemærkning)</w:t>
              <w:br/>
              <w:t/>
              <w:tab/>
              <w:t/>
              <w:tab/>
              <w:t>(SagPlanlagtAfslutningDato)</w:t>
              <w:br/>
              <w:t/>
              <w:tab/>
              <w:t/>
              <w:tab/>
              <w:t>(SagTidFacet)</w:t>
              <w:br/>
              <w:t/>
              <w:tab/>
              <w:t/>
              <w:tab/>
              <w:t>(SagDiverseFacet)</w:t>
              <w:br/>
              <w:t/>
              <w:tab/>
              <w:t/>
              <w:tab/>
              <w:t>(SagAndetFacet)</w:t>
              <w:br/>
              <w:t/>
              <w:tab/>
              <w:t/>
              <w:tab/>
              <w:t>*SagPartListe*</w:t>
              <w:br/>
              <w:t/>
              <w:tab/>
              <w:t/>
              <w:tab/>
              <w:t>0{</w:t>
              <w:br/>
              <w:t/>
              <w:tab/>
              <w:t/>
              <w:tab/>
              <w:t/>
              <w:tab/>
              <w:t>*SagPart*</w:t>
              <w:br/>
              <w:t/>
              <w:tab/>
              <w:t/>
              <w:tab/>
              <w:t/>
              <w:tab/>
              <w:t>[</w:t>
              <w:br/>
              <w:t/>
              <w:tab/>
              <w:t/>
              <w:tab/>
              <w:t/>
              <w:tab/>
              <w:t/>
              <w:tab/>
              <w:t>PartRolleBetegnelse</w:t>
              <w:br/>
              <w:t/>
              <w:tab/>
              <w:t/>
              <w:tab/>
              <w:t/>
              <w:tab/>
              <w:t/>
              <w:tab/>
              <w:t>*SagPartIDValg*</w:t>
              <w:br/>
              <w:t/>
              <w:tab/>
              <w:t/>
              <w:tab/>
              <w:t/>
              <w:tab/>
              <w:t/>
              <w:tab/>
              <w:t>[</w:t>
              <w:br/>
              <w:t/>
              <w:tab/>
              <w:t/>
              <w:tab/>
              <w:t/>
              <w:tab/>
              <w:t/>
              <w:tab/>
              <w:t/>
              <w:tab/>
              <w:t>*CPRIdentifikation*</w:t>
              <w:br/>
              <w:t/>
              <w:tab/>
              <w:t/>
              <w:tab/>
              <w:t/>
              <w:tab/>
              <w:t/>
              <w:tab/>
              <w:t/>
              <w:tab/>
              <w:t>[</w:t>
              <w:br/>
              <w:t/>
              <w:tab/>
              <w:t/>
              <w:tab/>
              <w:t/>
              <w:tab/>
              <w:t/>
              <w:tab/>
              <w:t/>
              <w:tab/>
              <w:t/>
              <w:tab/>
              <w:t>PersonCPRNummer</w:t>
              <w:br/>
              <w:t/>
              <w:tab/>
              <w:t/>
              <w:tab/>
              <w:t/>
              <w:tab/>
              <w:t/>
              <w:tab/>
              <w:t/>
              <w:tab/>
              <w:t>]</w:t>
              <w:br/>
              <w:t/>
              <w:tab/>
              <w:t/>
              <w:tab/>
              <w:t/>
              <w:tab/>
              <w:t/>
              <w:tab/>
              <w:t/>
              <w:tab/>
              <w:t>|</w:t>
              <w:br/>
              <w:t/>
              <w:tab/>
              <w:t/>
              <w:tab/>
              <w:t/>
              <w:tab/>
              <w:t/>
              <w:tab/>
              <w:t/>
              <w:tab/>
              <w:t>*SEIdentifikation*</w:t>
              <w:br/>
              <w:t/>
              <w:tab/>
              <w:t/>
              <w:tab/>
              <w:t/>
              <w:tab/>
              <w:t/>
              <w:tab/>
              <w:t/>
              <w:tab/>
              <w:t>[</w:t>
              <w:br/>
              <w:t/>
              <w:tab/>
              <w:t/>
              <w:tab/>
              <w:t/>
              <w:tab/>
              <w:t/>
              <w:tab/>
              <w:t/>
              <w:tab/>
              <w:t/>
              <w:tab/>
              <w:t>VirksomhedSENummer</w:t>
              <w:br/>
              <w:t/>
              <w:tab/>
              <w:t/>
              <w:tab/>
              <w:t/>
              <w:tab/>
              <w:t/>
              <w:tab/>
              <w:t/>
              <w:tab/>
              <w:t>]</w:t>
              <w:br/>
              <w:t/>
              <w:tab/>
              <w:t/>
              <w:tab/>
              <w:t/>
              <w:tab/>
              <w:t/>
              <w:tab/>
              <w:t/>
              <w:tab/>
              <w:t>|</w:t>
              <w:br/>
              <w:t/>
              <w:tab/>
              <w:t/>
              <w:tab/>
              <w:t/>
              <w:tab/>
              <w:t/>
              <w:tab/>
              <w:t/>
              <w:tab/>
              <w:t>*CVRIdentifikation*</w:t>
              <w:br/>
              <w:t/>
              <w:tab/>
              <w:t/>
              <w:tab/>
              <w:t/>
              <w:tab/>
              <w:t/>
              <w:tab/>
              <w:t/>
              <w:tab/>
              <w:t>[</w:t>
              <w:br/>
              <w:t/>
              <w:tab/>
              <w:t/>
              <w:tab/>
              <w:t/>
              <w:tab/>
              <w:t/>
              <w:tab/>
              <w:t/>
              <w:tab/>
              <w:t/>
              <w:tab/>
              <w:t>VirksomhedCVRNummer</w:t>
              <w:br/>
              <w:t/>
              <w:tab/>
              <w:t/>
              <w:tab/>
              <w:t/>
              <w:tab/>
              <w:t/>
              <w:tab/>
              <w:t/>
              <w:tab/>
              <w:t>]</w:t>
              <w:br/>
              <w:t/>
              <w:tab/>
              <w:t/>
              <w:tab/>
              <w:t/>
              <w:tab/>
              <w:t/>
              <w:tab/>
              <w:t/>
              <w:tab/>
              <w:t>|</w:t>
              <w:br/>
              <w:t/>
              <w:tab/>
              <w:t/>
              <w:tab/>
              <w:t/>
              <w:tab/>
              <w:t/>
              <w:tab/>
              <w:t/>
              <w:tab/>
              <w:t>*PartAlternativID*</w:t>
              <w:br/>
              <w:t/>
              <w:tab/>
              <w:t/>
              <w:tab/>
              <w:t/>
              <w:tab/>
              <w:t/>
              <w:tab/>
              <w:t/>
              <w:tab/>
              <w:t>[</w:t>
              <w:br/>
              <w:t/>
              <w:tab/>
              <w:t/>
              <w:tab/>
              <w:t/>
              <w:tab/>
              <w:t/>
              <w:tab/>
              <w:t/>
              <w:tab/>
              <w:t/>
              <w:tab/>
              <w:t>PartAlternativID</w:t>
              <w:br/>
              <w:t/>
              <w:tab/>
              <w:t/>
              <w:tab/>
              <w:t/>
              <w:tab/>
              <w:t/>
              <w:tab/>
              <w:t/>
              <w:tab/>
              <w:t/>
              <w:tab/>
              <w:t>PartAlternativIDType</w:t>
              <w:br/>
              <w:t/>
              <w:tab/>
              <w:t/>
              <w:tab/>
              <w:t/>
              <w:tab/>
              <w:t/>
              <w:tab/>
              <w:t/>
              <w:tab/>
              <w:t>]</w:t>
              <w:br/>
              <w:t/>
              <w:tab/>
              <w:t/>
              <w:tab/>
              <w:t/>
              <w:tab/>
              <w:t/>
              <w:tab/>
              <w:t>]</w:t>
              <w:br/>
              <w:t/>
              <w:tab/>
              <w:t/>
              <w:tab/>
              <w:t/>
              <w:tab/>
              <w:t>]</w:t>
              <w:br/>
              <w:t/>
              <w:tab/>
              <w:t/>
              <w:tab/>
              <w:t>}</w:t>
              <w:br/>
              <w:t/>
              <w:tab/>
              <w:t/>
              <w:tab/>
              <w:t>*SagEmneordListe*</w:t>
              <w:br/>
              <w:t/>
              <w:tab/>
              <w:t/>
              <w:tab/>
              <w:t>0{</w:t>
              <w:br/>
              <w:t/>
              <w:tab/>
              <w:t/>
              <w:tab/>
              <w:t/>
              <w:tab/>
              <w:t>SagEmneord</w:t>
              <w:br/>
              <w:t/>
              <w:tab/>
              <w:t/>
              <w:tab/>
              <w:t>}</w:t>
              <w:br/>
              <w:t/>
              <w:tab/>
              <w:t/>
              <w:tab/>
              <w:t>*SagErindringListe*</w:t>
              <w:br/>
              <w:t/>
              <w:tab/>
              <w:t/>
              <w:tab/>
              <w:t>0{</w:t>
              <w:br/>
              <w:t/>
              <w:tab/>
              <w:t/>
              <w:tab/>
              <w:t/>
              <w:tab/>
              <w:t>*SagErindring*</w:t>
              <w:br/>
              <w:t/>
              <w:tab/>
              <w:t/>
              <w:tab/>
              <w:t/>
              <w:tab/>
              <w:t>[</w:t>
              <w:br/>
              <w:t/>
              <w:tab/>
              <w:t/>
              <w:tab/>
              <w:t/>
              <w:tab/>
              <w:t/>
              <w:tab/>
              <w:t>*IdentifikationValg*</w:t>
              <w:br/>
              <w:t/>
              <w:tab/>
              <w:t/>
              <w:tab/>
              <w:t/>
              <w:tab/>
              <w:t/>
              <w:tab/>
              <w:t>[</w:t>
              <w:br/>
              <w:t/>
              <w:tab/>
              <w:t/>
              <w:tab/>
              <w:t/>
              <w:tab/>
              <w:t/>
              <w:tab/>
              <w:t/>
              <w:tab/>
              <w:t>*Sagsbehandler*</w:t>
              <w:br/>
              <w:t/>
              <w:tab/>
              <w:t/>
              <w:tab/>
              <w:t/>
              <w:tab/>
              <w:t/>
              <w:tab/>
              <w:t/>
              <w:tab/>
              <w:t>[</w:t>
              <w:br/>
              <w:t/>
              <w:tab/>
              <w:t/>
              <w:tab/>
              <w:t/>
              <w:tab/>
              <w:t/>
              <w:tab/>
              <w:t/>
              <w:tab/>
              <w:t/>
              <w:tab/>
              <w:t>RessourceNummer</w:t>
              <w:br/>
              <w:t/>
              <w:tab/>
              <w:t/>
              <w:tab/>
              <w:t/>
              <w:tab/>
              <w:t/>
              <w:tab/>
              <w:t/>
              <w:tab/>
              <w:t>]</w:t>
              <w:br/>
              <w:t/>
              <w:tab/>
              <w:t/>
              <w:tab/>
              <w:t/>
              <w:tab/>
              <w:t/>
              <w:tab/>
              <w:t/>
              <w:tab/>
              <w:t>|</w:t>
              <w:br/>
              <w:t/>
              <w:tab/>
              <w:t/>
              <w:tab/>
              <w:t/>
              <w:tab/>
              <w:t/>
              <w:tab/>
              <w:t/>
              <w:tab/>
              <w:t>*OrganisatoriskEnhed*</w:t>
              <w:br/>
              <w:t/>
              <w:tab/>
              <w:t/>
              <w:tab/>
              <w:t/>
              <w:tab/>
              <w:t/>
              <w:tab/>
              <w:t/>
              <w:tab/>
              <w:t>[</w:t>
              <w:br/>
              <w:t/>
              <w:tab/>
              <w:t/>
              <w:tab/>
              <w:t/>
              <w:tab/>
              <w:t/>
              <w:tab/>
              <w:t/>
              <w:tab/>
              <w:t/>
              <w:tab/>
              <w:t>OrganisatoriskEnhedNummer</w:t>
              <w:br/>
              <w:t/>
              <w:tab/>
              <w:t/>
              <w:tab/>
              <w:t/>
              <w:tab/>
              <w:t/>
              <w:tab/>
              <w:t/>
              <w:tab/>
              <w:t>]</w:t>
              <w:br/>
              <w:t/>
              <w:tab/>
              <w:t/>
              <w:tab/>
              <w:t/>
              <w:tab/>
              <w:t/>
              <w:tab/>
              <w:t>]</w:t>
              <w:br/>
              <w:t/>
              <w:tab/>
              <w:t/>
              <w:tab/>
              <w:t/>
              <w:tab/>
              <w:t/>
              <w:tab/>
              <w:t>SagErindringDato</w:t>
              <w:br/>
              <w:t/>
              <w:tab/>
              <w:t/>
              <w:tab/>
              <w:t/>
              <w:tab/>
              <w:t/>
              <w:tab/>
              <w:t>SagErindringBeskrivelse</w:t>
              <w:br/>
              <w:t/>
              <w:tab/>
              <w:t/>
              <w:tab/>
              <w:t/>
              <w:tab/>
              <w:t>]</w:t>
              <w:br/>
              <w:t/>
              <w:tab/>
              <w:t/>
              <w:tab/>
              <w:t>}</w:t>
              <w:br/>
              <w:t/>
              <w:tab/>
              <w:t/>
              <w:tab/>
              <w:t>*SagFriDatoListe*</w:t>
              <w:br/>
              <w:t/>
              <w:tab/>
              <w:t/>
              <w:tab/>
              <w:t>0{</w:t>
              <w:br/>
              <w:t/>
              <w:tab/>
              <w:t/>
              <w:tab/>
              <w:t/>
              <w:tab/>
              <w:t>*SagFriDato*</w:t>
              <w:br/>
              <w:t/>
              <w:tab/>
              <w:t/>
              <w:tab/>
              <w:t/>
              <w:tab/>
              <w:t>[</w:t>
              <w:br/>
              <w:t/>
              <w:tab/>
              <w:t/>
              <w:tab/>
              <w:t/>
              <w:tab/>
              <w:t/>
              <w:tab/>
              <w:t>SagFriDatoLedetekst</w:t>
              <w:br/>
              <w:t/>
              <w:tab/>
              <w:t/>
              <w:tab/>
              <w:t/>
              <w:tab/>
              <w:t/>
              <w:tab/>
              <w:t>SagFriDatoDato</w:t>
              <w:br/>
              <w:t/>
              <w:tab/>
              <w:t/>
              <w:tab/>
              <w:t/>
              <w:tab/>
              <w:t>]</w:t>
              <w:br/>
              <w:t/>
              <w:tab/>
              <w:t/>
              <w:tab/>
              <w:t>}</w:t>
              <w:br/>
              <w:t/>
              <w:tab/>
              <w:t/>
              <w:tab/>
              <w:t>*SagFriOplysningListe*</w:t>
              <w:br/>
              <w:t/>
              <w:tab/>
              <w:t/>
              <w:tab/>
              <w:t>0{</w:t>
              <w:br/>
              <w:t/>
              <w:tab/>
              <w:t/>
              <w:tab/>
              <w:t/>
              <w:tab/>
              <w:t>*SagFriOplysning*</w:t>
              <w:br/>
              <w:t/>
              <w:tab/>
              <w:t/>
              <w:tab/>
              <w:t/>
              <w:tab/>
              <w:t>[</w:t>
              <w:br/>
              <w:t/>
              <w:tab/>
              <w:t/>
              <w:tab/>
              <w:t/>
              <w:tab/>
              <w:t/>
              <w:tab/>
              <w:t>SagFriOplysningLedetekst</w:t>
              <w:br/>
              <w:t/>
              <w:tab/>
              <w:t/>
              <w:tab/>
              <w:t/>
              <w:tab/>
              <w:t/>
              <w:tab/>
              <w:t>SagFriOplysningIndhold</w:t>
              <w:br/>
              <w:t/>
              <w:tab/>
              <w:t/>
              <w:tab/>
              <w:t/>
              <w:tab/>
              <w:t>]</w:t>
              <w:br/>
              <w:t/>
              <w:tab/>
              <w:t/>
              <w:tab/>
              <w:t>}</w:t>
              <w:br/>
              <w:t/>
              <w:tab/>
              <w:t/>
              <w:tab/>
              <w:t>(</w:t>
              <w:br/>
              <w:t/>
              <w:tab/>
              <w:t/>
              <w:tab/>
              <w:t/>
              <w:tab/>
              <w:t>*Sagsbehandler*</w:t>
              <w:br/>
              <w:t/>
              <w:tab/>
              <w:t/>
              <w:tab/>
              <w:t/>
              <w:tab/>
              <w:t>[</w:t>
              <w:br/>
              <w:t/>
              <w:tab/>
              <w:t/>
              <w:tab/>
              <w:t/>
              <w:tab/>
              <w:t/>
              <w:tab/>
              <w:t>RessourceNummer</w:t>
              <w:br/>
              <w:t/>
              <w:tab/>
              <w:t/>
              <w:tab/>
              <w:t/>
              <w:tab/>
              <w:t>]</w:t>
              <w:br/>
              <w:t/>
              <w:tab/>
              <w:t/>
              <w:tab/>
              <w:t>)</w:t>
              <w:br/>
              <w:t/>
              <w:tab/>
              <w:t/>
              <w:tab/>
              <w:t>*SagRelationListe*</w:t>
              <w:br/>
              <w:t/>
              <w:tab/>
              <w:t/>
              <w:tab/>
              <w:t>0{</w:t>
              <w:br/>
              <w:t/>
              <w:tab/>
              <w:t/>
              <w:tab/>
              <w:t/>
              <w:tab/>
              <w:t>*SagRelation*</w:t>
              <w:br/>
              <w:t/>
              <w:tab/>
              <w:t/>
              <w:tab/>
              <w:t/>
              <w:tab/>
              <w:t>[</w:t>
              <w:br/>
              <w:t/>
              <w:tab/>
              <w:t/>
              <w:tab/>
              <w:t/>
              <w:tab/>
              <w:t/>
              <w:tab/>
              <w:t>SagNummer</w:t>
              <w:br/>
              <w:t/>
              <w:tab/>
              <w:t/>
              <w:tab/>
              <w:t/>
              <w:tab/>
              <w:t/>
              <w:tab/>
              <w:t>SagForholdBeskrivelse</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SagOpret_O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SagNummer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Man må ikke kunne oprette en sag med et UUID som allerede eksisterer.</w:t>
              <w:br/>
              <w:t/>
              <w:br/>
              <w:t>FejlNummer:100</w:t>
              <w:br/>
              <w:t>SKAT kategorisering: Inputfejl</w:t>
              <w:br/>
              <w:t>Bemærkning: Alle som ikke er omfattet af de øvrige kategorier</w:t>
              <w:br/>
              <w:t/>
              <w:br/>
              <w:t>FejlNummer:102</w:t>
              <w:br/>
              <w:t>SKAT kategorisering: Alvorlige systemfejl</w:t>
              <w:br/>
              <w:t>Bemærkning: Alle fejl fra Oracle</w:t>
              <w:br/>
              <w:t/>
              <w:br/>
              <w:t>FejlNummer:201</w:t>
              <w:br/>
              <w:t>SKAT kategorisering: Alvorlige systemfejl</w:t>
              <w:br/>
              <w:t/>
              <w:br/>
              <w:t>FejlNummer:202</w:t>
              <w:br/>
              <w:t>SKAT kategorisering: Den sag som forsøges opdateret findes ikke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Tekniske krav</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Hvis Captia WebServices kaldes gennem SKATs Classic Service Bus skal der anvendes SAML-tokens, men samtidig skal der angives en Captia-brugerkode i BrugerKode under Hovedoplysninger. Captia-brugerkode tildeles af ESDH-systemejer.</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OrganisatoriskEnhedNummer</w:t>
            </w:r>
            <w:bookmarkStart w:name="Organisatorisk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Dette er nummeret på den organisatoriske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PartAlternativID</w:t>
            </w:r>
            <w:bookmarkStart w:name="PartAlterna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Alternativ identifikation af en part, som ikke kan identificeres ved CVR-nummer, SE-nummer eller CPR-nummer. Det gælder fx udenlandske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PartAlternativIDType</w:t>
            </w:r>
            <w:bookmarkStart w:name="PartAlternativID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I tilfælde hvor en part ikke skal identificeres ved et alternativt id, skal man angive hvilke type det alternative id er. Captia skal kende disse typer på forhånd.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PartRolleBetegnelse</w:t>
            </w:r>
            <w:bookmarkStart w:name="PartRolleBetegn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Partens rolle i forhold til sagen.</w:t>
              <w:br/>
              <w:t/>
              <w:br/>
              <w:t>Primærpart =&gt; Sagens primære subjekt – dvs. den person eller virksomhed som sagens afgørelse m.v. er rettet mod.</w:t>
              <w:br/>
              <w:t>Sagspart =&gt; Sagens parter. De deltagere i sagen som ikke er primærpart.</w:t>
              <w:br/>
              <w:t>Partsrepr =&gt; Partens repræsentant, typisk advokat eller revisor.</w:t>
              <w:br/>
              <w:t>Afg.myndigh =&gt; Den myndighed som har truffet den underliggende afgørelse (som der eks. klages over).</w:t>
              <w:br/>
              <w:t>Øvr. mynd. =&gt; Øvrige myndigheder, f.eks. Skatteministeriets departement, andre ministerier og styrelser, politi og anklagemyndighed, domstolene.</w:t>
              <w:br/>
              <w:t/>
              <w:br/>
              <w:t>Værdiset:</w:t>
              <w:br/>
              <w:t>- Sagspart</w:t>
              <w:br/>
              <w:t>- Partsrepr</w:t>
              <w:br/>
              <w:t>- Øvr. mynd.</w:t>
              <w:br/>
              <w:t>- Afg.myndigh</w:t>
              <w:br/>
              <w:t>- Anden rådg.</w:t>
              <w:br/>
              <w:t>- Ejendom</w:t>
              <w:br/>
              <w:t>- Primærpart</w:t>
              <w:br/>
              <w:t>- Formand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SagAndetFacet</w:t>
            </w:r>
            <w:bookmarkStart w:name="SagAndetFac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Reserveret til fremtidig brug.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SagBemærkning</w:t>
            </w:r>
            <w:bookmarkStart w:name="Sag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Fritekstfelt til notering af eventuelle bemærkninger o. lign.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SagDiverseFacet</w:t>
            </w:r>
            <w:bookmarkStart w:name="SagDiverseFac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Anvendes til yderligere kvalificering af sagen. Anvendelsen afhænger af kontekst.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SagEmneord</w:t>
            </w:r>
            <w:bookmarkStart w:name="SagEmneor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w:t>
            </w:r>
          </w:p>
        </w:tc>
        <w:tc>
          <w:tcPr>
            <w:tcW w:type="dxa" w:w="4391"/>
            <w:tcMar>
              <w:top w:type="dxa" w:w="57"/>
              <w:bottom w:type="dxa" w:w="57"/>
            </w:tcMar>
          </w:tcPr>
          <w:p>
            <w:pPr>
              <w:rPr>
                <w:rFonts w:ascii="Arial" w:cs="Arial" w:hAnsi="Arial"/>
                <w:sz w:val="18"/>
              </w:rPr>
            </w:pPr>
            <w:r>
              <w:rPr>
                <w:rFonts w:ascii="Arial" w:cs="Arial" w:hAnsi="Arial"/>
                <w:sz w:val="18"/>
              </w:rPr>
              <w:t/>
              <w:t>Supplerende ord til nærmere angivelse af sagens</w:t>
              <w:br/>
              <w:t>indhold, feks UDLANDET, BEFORDRING.</w:t>
              <w:br/>
              <w:t>Der kan kun anvendes emneord, der er oprettet i Captia i forvejen.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SagErindringBeskrivelse</w:t>
            </w:r>
            <w:bookmarkStart w:name="SagErindring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255</w:t>
            </w:r>
          </w:p>
        </w:tc>
        <w:tc>
          <w:tcPr>
            <w:tcW w:type="dxa" w:w="4391"/>
            <w:tcMar>
              <w:top w:type="dxa" w:w="57"/>
              <w:bottom w:type="dxa" w:w="57"/>
            </w:tcMar>
          </w:tcPr>
          <w:p>
            <w:pPr>
              <w:rPr>
                <w:rFonts w:ascii="Arial" w:cs="Arial" w:hAnsi="Arial"/>
                <w:sz w:val="18"/>
              </w:rPr>
            </w:pPr>
            <w:r>
              <w:rPr>
                <w:rFonts w:ascii="Arial" w:cs="Arial" w:hAnsi="Arial"/>
                <w:sz w:val="18"/>
              </w:rPr>
              <w:t/>
              <w:t>Beskrivelse af en erindring på en sag.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SagErindringDato</w:t>
            </w:r>
            <w:bookmarkStart w:name="SagErind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Erindrer sagen i Captia og Outlook Today</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SagForholdBeskrivelse</w:t>
            </w:r>
            <w:bookmarkStart w:name="SagForhold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Beskriver en enkelt sags relation til en anden sag.</w:t>
              <w:br/>
              <w:t/>
              <w:br/>
              <w:t>Værdiset:</w:t>
              <w:br/>
              <w:t>Henvisning</w:t>
              <w:br/>
              <w:t>Omj fra</w:t>
              <w:br/>
              <w:t>Omj til</w:t>
              <w:br/>
              <w:t>Oversag</w:t>
              <w:br/>
              <w:t>Principsag</w:t>
              <w:br/>
              <w:t>Sammenholdt</w:t>
              <w:br/>
              <w:t>Underssag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SagFriDatoDato</w:t>
            </w:r>
            <w:bookmarkStart w:name="SagFriDato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Værdien for et frit datofelt knyttet til sagen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SagFriDatoLedetekst</w:t>
            </w:r>
            <w:bookmarkStart w:name="SagFriDatoLed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Navnet på et frit datofelt der knytter sig til sagen - skal være kendt i Captia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SagFriOplysningIndhold</w:t>
            </w:r>
            <w:bookmarkStart w:name="SagFriOplysning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255</w:t>
            </w:r>
          </w:p>
        </w:tc>
        <w:tc>
          <w:tcPr>
            <w:tcW w:type="dxa" w:w="4391"/>
            <w:tcMar>
              <w:top w:type="dxa" w:w="57"/>
              <w:bottom w:type="dxa" w:w="57"/>
            </w:tcMar>
          </w:tcPr>
          <w:p>
            <w:pPr>
              <w:rPr>
                <w:rFonts w:ascii="Arial" w:cs="Arial" w:hAnsi="Arial"/>
                <w:sz w:val="18"/>
              </w:rPr>
            </w:pPr>
            <w:r>
              <w:rPr>
                <w:rFonts w:ascii="Arial" w:cs="Arial" w:hAnsi="Arial"/>
                <w:sz w:val="18"/>
              </w:rPr>
              <w:t/>
              <w:t>Værdien for et frit oplysningsfelt knyttet til sagen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SagFriOplysningLedetekst</w:t>
            </w:r>
            <w:bookmarkStart w:name="SagFriOplysningLed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Navnet på et frit oplysningsfelt der knytter sig til sagen - skal være kendt i Captia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SagGruppe</w:t>
            </w:r>
            <w:bookmarkStart w:name="SagGrup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13</w:t>
            </w:r>
          </w:p>
        </w:tc>
        <w:tc>
          <w:tcPr>
            <w:tcW w:type="dxa" w:w="4391"/>
            <w:tcMar>
              <w:top w:type="dxa" w:w="57"/>
              <w:bottom w:type="dxa" w:w="57"/>
            </w:tcMar>
          </w:tcPr>
          <w:p>
            <w:pPr>
              <w:rPr>
                <w:rFonts w:ascii="Arial" w:cs="Arial" w:hAnsi="Arial"/>
                <w:sz w:val="18"/>
              </w:rPr>
            </w:pPr>
            <w:r>
              <w:rPr>
                <w:rFonts w:ascii="Arial" w:cs="Arial" w:hAnsi="Arial"/>
                <w:sz w:val="18"/>
              </w:rPr>
              <w:t/>
              <w:t>Numerisk journalplan - angiver sagsemne.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SagHandlingFacet</w:t>
            </w:r>
            <w:bookmarkStart w:name="SagHandlingFac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Beskriver den handling som sagen vedrører. Handlingerne svarer til aktiviteter i Skatteministeriets ydelseskatalog.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SagIndblik</w:t>
            </w:r>
            <w:bookmarkStart w:name="SagIndblik"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w:t>
            </w:r>
          </w:p>
        </w:tc>
        <w:tc>
          <w:tcPr>
            <w:tcW w:type="dxa" w:w="4391"/>
            <w:tcMar>
              <w:top w:type="dxa" w:w="57"/>
              <w:bottom w:type="dxa" w:w="57"/>
            </w:tcMar>
          </w:tcPr>
          <w:p>
            <w:pPr>
              <w:rPr>
                <w:rFonts w:ascii="Arial" w:cs="Arial" w:hAnsi="Arial"/>
                <w:sz w:val="18"/>
              </w:rPr>
            </w:pPr>
            <w:r>
              <w:rPr>
                <w:rFonts w:ascii="Arial" w:cs="Arial" w:hAnsi="Arial"/>
                <w:sz w:val="18"/>
              </w:rPr>
              <w:t/>
              <w:t>Rettighed/sikkerhedsstyring - dels et fagligt snit der afhænger af sagsgruppen, dels et organisatorisk (Myndighedsindblik) feks 3_motor &amp; 20 betyder, at alle i myndighed 20 (SKAT) kan se sagen, hvis de har 3_motor i BRAS - kan ændres manuelt.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SagMyndighed</w:t>
            </w:r>
            <w:bookmarkStart w:name="SagMynd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Dette afspejler ESDHs håndtering af Myndigheder.</w:t>
              <w:br/>
              <w:t/>
              <w:br/>
              <w:t>Værdisæt:</w:t>
              <w:br/>
              <w:t>10: Koncerncenteret</w:t>
              <w:br/>
              <w:t>20: Skat</w:t>
              <w:br/>
              <w:t>25: Skatterådet</w:t>
              <w:br/>
              <w:t>30: Spillemyndigheden</w:t>
              <w:br/>
              <w:t>50: Retssikkerhedschefen</w:t>
              <w:br/>
              <w:t>60: Ankecenteret</w:t>
              <w:br/>
              <w:t>61: Skatteankenævnet</w:t>
              <w:br/>
              <w:t>62: Motorankenævnet</w:t>
              <w:br/>
              <w:t>63: Vurderingsankenævnet</w:t>
              <w:br/>
              <w:t>70: Landsskatteretten</w:t>
              <w:br/>
              <w:t>80: Byret</w:t>
              <w:br/>
              <w:t>81: Østre Landsret</w:t>
              <w:br/>
              <w:t>82: Vestre Landsret</w:t>
              <w:br/>
              <w:t>83: Højesteret</w:t>
              <w:br/>
              <w:t>84: EF-domstolen</w:t>
              <w:br/>
              <w:t>85: Menneskerettigheds-domstolen</w:t>
              <w:br/>
              <w:t>89: Landsret</w:t>
              <w:br/>
              <w:t>90: Ombudsmand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SagNummer</w:t>
            </w:r>
            <w:bookmarkStart w:name="Sa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pattern: [0-9]{2}-[0-9]{6,7}</w:t>
            </w:r>
          </w:p>
        </w:tc>
        <w:tc>
          <w:tcPr>
            <w:tcW w:type="dxa" w:w="4391"/>
            <w:tcMar>
              <w:top w:type="dxa" w:w="57"/>
              <w:bottom w:type="dxa" w:w="57"/>
            </w:tcMar>
          </w:tcPr>
          <w:p>
            <w:pPr>
              <w:rPr>
                <w:rFonts w:ascii="Arial" w:cs="Arial" w:hAnsi="Arial"/>
                <w:sz w:val="18"/>
              </w:rPr>
            </w:pPr>
            <w:r>
              <w:rPr>
                <w:rFonts w:ascii="Arial" w:cs="Arial" w:hAnsi="Arial"/>
                <w:sz w:val="18"/>
              </w:rPr>
              <w:t/>
              <w:t>Unik identifikation af sagen.</w:t>
              <w:br/>
              <w:t>(Bemærk at ældre sager kun har 6 cifre i den del som udgør løbenummeret).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SagPlanlagtAfslutningDato</w:t>
            </w:r>
            <w:bookmarkStart w:name="SagPlanlagtAfslu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påtænkt afslutning af sagen.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SagProcesKode</w:t>
            </w:r>
            <w:bookmarkStart w:name="SagProce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en tekst på max. 10 alfanummeriske karakterer</w:t>
              <w:br/>
              <w:t/>
              <w:br/>
              <w:t>Værdisæt:</w:t>
              <w:br/>
              <w:t>FEJL: Fejloprettet</w:t>
              <w:br/>
              <w:t>SAG: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SagProfilNavn</w:t>
            </w:r>
            <w:bookmarkStart w:name="SagProfil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Enhver sag i CAPTIA er beskrevet ved fire egenskaber: Myndighed, Gruppe, Indblik og Organisatoriskenhed.</w:t>
              <w:b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SagTidFacet</w:t>
            </w:r>
            <w:bookmarkStart w:name="SagTidFac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Angiver hvilke frister der evt. gælder for sagen - indkomst- og regnskabsår, perioder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SagTilstandKode</w:t>
            </w:r>
            <w:bookmarkStart w:name="SagT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Unik kode som definerer en sagstilstand.</w:t>
              <w:br/>
              <w:t/>
              <w:br/>
              <w:t>Værdisæt:</w:t>
              <w:br/>
              <w:t>Eksempler:</w:t>
              <w:br/>
              <w:t>100I: Visitering</w:t>
              <w:br/>
              <w:t>200I Ufordelt (sagspools)</w:t>
              <w:br/>
              <w:t>300I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SagTitel</w:t>
            </w:r>
            <w:bookmarkStart w:name="Sag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En kort angivelse af titlen for sagen.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SagUUID</w:t>
            </w:r>
            <w:bookmarkStart w:name="SagUU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ekstern sagsidentifikator - forskelligt fra SagNummer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SagOpret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