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74EEC" w:rsidTr="00274EEC">
        <w:tblPrEx>
          <w:tblCellMar>
            <w:top w:w="0" w:type="dxa"/>
            <w:bottom w:w="0" w:type="dxa"/>
          </w:tblCellMar>
        </w:tblPrEx>
        <w:trPr>
          <w:trHeight w:hRule="exact" w:val="113"/>
        </w:trPr>
        <w:tc>
          <w:tcPr>
            <w:tcW w:w="10205" w:type="dxa"/>
            <w:gridSpan w:val="6"/>
            <w:shd w:val="clear" w:color="auto" w:fill="82A0F0"/>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rPr>
          <w:trHeight w:val="283"/>
        </w:trPr>
        <w:tc>
          <w:tcPr>
            <w:tcW w:w="10205" w:type="dxa"/>
            <w:gridSpan w:val="6"/>
            <w:tcBorders>
              <w:bottom w:val="single" w:sz="6" w:space="0" w:color="auto"/>
            </w:tcBorders>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4EEC">
              <w:rPr>
                <w:rFonts w:ascii="Arial" w:hAnsi="Arial" w:cs="Arial"/>
                <w:b/>
                <w:sz w:val="30"/>
              </w:rPr>
              <w:t>EFIBetalingEvneÆndr</w:t>
            </w:r>
          </w:p>
        </w:tc>
      </w:tr>
      <w:tr w:rsidR="00274EEC" w:rsidTr="00274EE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4EEC" w:rsidTr="00274EEC">
        <w:tblPrEx>
          <w:tblCellMar>
            <w:top w:w="0" w:type="dxa"/>
            <w:bottom w:w="0" w:type="dxa"/>
          </w:tblCellMar>
        </w:tblPrEx>
        <w:trPr>
          <w:gridAfter w:val="1"/>
          <w:trHeight w:val="283"/>
        </w:trPr>
        <w:tc>
          <w:tcPr>
            <w:tcW w:w="1701" w:type="dxa"/>
            <w:tcBorders>
              <w:top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2010-11-04</w:t>
            </w:r>
          </w:p>
        </w:tc>
        <w:tc>
          <w:tcPr>
            <w:tcW w:w="1699" w:type="dxa"/>
            <w:tcBorders>
              <w:top w:val="nil"/>
            </w:tcBorders>
            <w:shd w:val="clear" w:color="auto" w:fill="auto"/>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4EEC" w:rsidTr="00274EEC">
        <w:tblPrEx>
          <w:tblCellMar>
            <w:top w:w="0" w:type="dxa"/>
            <w:bottom w:w="0" w:type="dxa"/>
          </w:tblCellMar>
        </w:tblPrEx>
        <w:trPr>
          <w:trHeight w:val="283"/>
        </w:trPr>
        <w:tc>
          <w:tcPr>
            <w:tcW w:w="10205" w:type="dxa"/>
            <w:gridSpan w:val="6"/>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at oprette eller ændre reservation af betalingsevne, samt til at meddele betalingsevneberegningen, hvor stor en del af en kundes betalingsevne kalderen ønsker at anvende. Servicen returnerer det beløb, kalderen kan anvende af kundensbetalingsevne. Servicen garanterer ikke, at kalderen kan få eller reservere hele det ønskede beløb. Servicen anvendes endvidere til at oprette eller ændre reservation af S-betalingsevne.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Kalderen angiver reservations beløb og reservationens startdato i reservationsstrukturen. Reservationer foretaget af indsatser er i princippet uendelige, da indsatser skal kalde denne services med 0 kr. som reservationsbeløb for at stoppe reservationen. Reservationer foretaget af DMI gælder altid i en måned med udløb den næste 1. i måneden. Herefter overvåger betalingsevneberegningen reservationen i en parameterstyret periode . Hvis DMI ikke har foretaget en fornyelse af reservation via kald til denne service, så ophører reservationen ved udløb af den parameterstyrerede 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reservation tildeles et nummer i reservationsrækkefølgen i sekventiel rækkefølge.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kalderen ønsker at stoppe en reservation, angives 0 kr. som reservationsbeløb. Indsatser er selv ansvarlige for at stoppe deres reservationer.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det faktiske beløb, som kalderen kan anvende af kundensbetalingsevne samt en række tilhørende værdier, der primært anvendes af indsatser i EFI, DMI og SKAT's sagsbehandlere.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påvirkes af en række hændelser, f.eks. ændringer i kundens indkomst. Kundens betalingsevne genberegnes derfor løbende. Kundens betalingsevne er aktuel i den forstand, at betalingsevnen altid genberegnes, når der modtages ændringer til beregningsgrundlaget.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tidsenhed, og kalderen kan specificere den ønskede tidsenhed, f.eks. kroner pr. uge.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og reservationer af S-betalingsevne er uafhængigt af kundens betalingsevne og reservationer af betalingsevnen.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S-reservation tildeles et nummer i S-reservationsrækkefølgen i sekventiel rækkefølge.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kalderen ønsker at stoppe en S-reservation, angives 0 kr. som S-reservationsbeløb. Kalderen er ansvarlig for at stoppe sine reservationer, da der ikke er overvågning af S-reservationer.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 faktiske beløb og procentsats, som kalderen kan anvende af kundens S-betalingsevne.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S-betalingsevne påvirkes af ændringer i kundens indkomst. Kundens S-indeholdelsesbeløb og procent genberegnes derfor løbende.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S-betalingsevne måles i kroner per periode, hvor perioden er den samme som for kundens betalingsevne.</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4EEC" w:rsidTr="00274EEC">
        <w:tblPrEx>
          <w:tblCellMar>
            <w:top w:w="0" w:type="dxa"/>
            <w:bottom w:w="0" w:type="dxa"/>
          </w:tblCellMar>
        </w:tblPrEx>
        <w:trPr>
          <w:trHeight w:val="283"/>
        </w:trPr>
        <w:tc>
          <w:tcPr>
            <w:tcW w:w="10205" w:type="dxa"/>
            <w:gridSpan w:val="6"/>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være beregnet efter den skematiske model eller efter kundens budget.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personkundens eller en ejer af et enkeltmandsfirma betalingsevne kan altid beregnes efter den skematiske model; mens en virksomhedskunde eller AKR-kundes betalingsevne er ukendt, indtil kundens har oprettet et budget. Der vil dog være en periode fra oprettelsen af en ny kunde til data for beregningen efter den skematiske model er tilvejebragt, hvor kundens betalingsevne er ukendt.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kundens betalingsevne er 0 kr. per måned, hvis betalingsevnen er mindre end en vis parameterstyret værdi.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MyndighedUdbetalingType er sat til en kendt værdi i EFI, beregnes kundens betalingsevne i overensstemmelse med beregningsreglerne for den givne myndighedsudbetalingstype, se servicebeskrivelsen for EFIBetalingEvneHent.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følgende oplysninger om særskilt inddrivelse for kunden: S-betalingsevnen, S-lønindeholdelsesbeløb og S-lønindeholdelsesprocent samt en oversigt over S-reservationer. Oplysningerne om særskilt inddrivelse er kun tilgængelige for EFI kundetyperne CPR person og ejer af enkeltmandsfirmaer. Kunden skal endvidere have indkomst, der registreres i eIndkomst for at oplysningerne til særskilt inddrivelse kan beregnes. Beregning og reservation af særskilt inddrivelse påvirker ikke beregningen af kundens betalingsevne og reservationer af betalingsevnen.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Indsatser i EFI kan reserverer S-betalingsevne ved at reserverer hele eller dele af S-lønindeholdelsesbeløbet.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oversigt over de aktuelle S-reservationer og den eventuelt ledige S-betalingsevne.</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274EEC" w:rsidTr="00274EEC">
        <w:tblPrEx>
          <w:tblCellMar>
            <w:top w:w="0" w:type="dxa"/>
            <w:bottom w:w="0" w:type="dxa"/>
          </w:tblCellMar>
        </w:tblPrEx>
        <w:trPr>
          <w:trHeight w:val="283"/>
        </w:trPr>
        <w:tc>
          <w:tcPr>
            <w:tcW w:w="10205" w:type="dxa"/>
            <w:gridSpan w:val="6"/>
            <w:shd w:val="clear" w:color="auto" w:fill="FFFFFF"/>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Hele eller dele af kundens betalingsevne kan være reserveret. Denne service returnerer den aktuelle liste af reservationer af kundens betalingsevne. Der kan kun foretages  reservation med denne service.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indsats af typen betalingsordning kan overtage en reservation foretaget af en indsats af typen lønindeholdelse i dennes varslingsperiode. Betalingsevneberegningen validerer ikke lønindholdelsesindsatsens tilstand; men overfører blot lønindeholdelsens reservation til betalingsordningen. Indsatsen lønindeholdelse skal foretage en ny reservation, hvis den på et senere tidspunkt ønsker at anvende betalingsevne. Reglen for overtagelse af reservation af betalingsevne fra lønindeholdelse til betalingsordning påvirker ikke reservationer foretaget af DMI.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i betalingsevneberegningen; men kopieres blot over i svaret.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Enkeltmandsfirmaer oprettes ikke som kunder i EFI, så betalingsevneberegningen returnerer derfor "Kunde, der forespørges på, findes ikke"; hvis der spørges på et enkeltmandsfirma.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er en parameterværdi. S-betalingsevnen er derfor ens for alle EFI kunder, der oplyses skærpet inddrivelsesoplysninger for.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Kundes S-lønindeholdelsesprocent beregnes ved hjælp af S-betalingsevnen og kundens trækgrundlag, dvs, den del af kundens A-indkomst, der kan beskattes fratrukket kundens fradrag for den pågældende perioden. Hvis procenten er mindre en 1% rundes den op til 1%, ellers rundes procenten op eller ned til den nærmeste heletallige procentsats.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S-lønindeholdelsesbeløb beregnes ved hjælp af kundens trækgrundlag og S-lønindeholdelsesprocenten. S-lønindeholdelsesbeløb og procent kan ændre sig, når kundens nettoindkomst ændrer sig. Betalingsevneberegningen udsender derfor hændelser til indsatserne, når der sker ændringer.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 kundens S-betalingsevne ved at foretage reservationer i S-lønindeholdelsesbeløbet. Reservationer tildeles en simpel FIFO-rækkefølge. S-reservationer op eller nedskrives ved ændringer i de underliggende beløb.</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4EEC" w:rsidTr="00274EEC">
        <w:tblPrEx>
          <w:tblCellMar>
            <w:top w:w="0" w:type="dxa"/>
            <w:bottom w:w="0" w:type="dxa"/>
          </w:tblCellMar>
        </w:tblPrEx>
        <w:trPr>
          <w:trHeight w:val="283"/>
        </w:trPr>
        <w:tc>
          <w:tcPr>
            <w:tcW w:w="10205" w:type="dxa"/>
            <w:gridSpan w:val="6"/>
            <w:shd w:val="clear" w:color="auto" w:fill="FFFFFF"/>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4EEC" w:rsidTr="00274EEC">
        <w:tblPrEx>
          <w:tblCellMar>
            <w:top w:w="0" w:type="dxa"/>
            <w:bottom w:w="0" w:type="dxa"/>
          </w:tblCellMar>
        </w:tblPrEx>
        <w:trPr>
          <w:trHeight w:val="283"/>
        </w:trPr>
        <w:tc>
          <w:tcPr>
            <w:tcW w:w="10205" w:type="dxa"/>
            <w:gridSpan w:val="6"/>
            <w:shd w:val="clear" w:color="auto" w:fill="FFFFFF"/>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EFIBetalingEvneÆndr_I</w:t>
            </w:r>
          </w:p>
        </w:tc>
      </w:tr>
      <w:tr w:rsidR="00274EEC" w:rsidTr="00274EEC">
        <w:tblPrEx>
          <w:tblCellMar>
            <w:top w:w="0" w:type="dxa"/>
            <w:bottom w:w="0" w:type="dxa"/>
          </w:tblCellMar>
        </w:tblPrEx>
        <w:trPr>
          <w:trHeight w:val="283"/>
        </w:trPr>
        <w:tc>
          <w:tcPr>
            <w:tcW w:w="10205" w:type="dxa"/>
            <w:gridSpan w:val="6"/>
            <w:shd w:val="clear" w:color="auto" w:fill="FFFFFF"/>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BetalingEvneReservation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BetalingEvneResBeløbStruktur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BetalingEvneResStartDato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ReservationPartValg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EFIIndsats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*SbetalingEvneReservation*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SBetalingEvneBeregnLønIndProcent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4EEC" w:rsidTr="00274EEC">
        <w:tblPrEx>
          <w:tblCellMar>
            <w:top w:w="0" w:type="dxa"/>
            <w:bottom w:w="0" w:type="dxa"/>
          </w:tblCellMar>
        </w:tblPrEx>
        <w:trPr>
          <w:trHeight w:val="283"/>
        </w:trPr>
        <w:tc>
          <w:tcPr>
            <w:tcW w:w="10205" w:type="dxa"/>
            <w:gridSpan w:val="6"/>
            <w:shd w:val="clear" w:color="auto" w:fill="FFFFFF"/>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74EEC" w:rsidTr="00274EEC">
        <w:tblPrEx>
          <w:tblCellMar>
            <w:top w:w="0" w:type="dxa"/>
            <w:bottom w:w="0" w:type="dxa"/>
          </w:tblCellMar>
        </w:tblPrEx>
        <w:trPr>
          <w:trHeight w:val="283"/>
        </w:trPr>
        <w:tc>
          <w:tcPr>
            <w:tcW w:w="10205" w:type="dxa"/>
            <w:gridSpan w:val="6"/>
            <w:shd w:val="clear" w:color="auto" w:fill="FFFFFF"/>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EFIBetalingEvneÆndr_O</w:t>
            </w:r>
          </w:p>
        </w:tc>
      </w:tr>
      <w:tr w:rsidR="00274EEC" w:rsidTr="00274EEC">
        <w:tblPrEx>
          <w:tblCellMar>
            <w:top w:w="0" w:type="dxa"/>
            <w:bottom w:w="0" w:type="dxa"/>
          </w:tblCellMar>
        </w:tblPrEx>
        <w:trPr>
          <w:trHeight w:val="283"/>
        </w:trPr>
        <w:tc>
          <w:tcPr>
            <w:tcW w:w="10205" w:type="dxa"/>
            <w:gridSpan w:val="6"/>
            <w:shd w:val="clear" w:color="auto" w:fill="FFFFFF"/>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(BetalingEvneEnhedPeriode)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*SBetalingEvne*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SReservationListe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SBetalingEvneResStruktur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74EEC" w:rsidTr="00274EEC">
        <w:tblPrEx>
          <w:tblCellMar>
            <w:top w:w="0" w:type="dxa"/>
            <w:bottom w:w="0" w:type="dxa"/>
          </w:tblCellMar>
        </w:tblPrEx>
        <w:trPr>
          <w:trHeight w:val="283"/>
        </w:trPr>
        <w:tc>
          <w:tcPr>
            <w:tcW w:w="10205" w:type="dxa"/>
            <w:gridSpan w:val="6"/>
            <w:shd w:val="clear" w:color="auto" w:fill="FFFFFF"/>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034</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MyndighedUdbetalingTypeKode ikke findes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MyndighedUdbetalingType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Besked: Ukendt systemfejl. Kontakt venligst SKAT for hjælp og næmere information.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74EEC" w:rsidTr="00274EEC">
        <w:tblPrEx>
          <w:tblCellMar>
            <w:top w:w="0" w:type="dxa"/>
            <w:bottom w:w="0" w:type="dxa"/>
          </w:tblCellMar>
        </w:tblPrEx>
        <w:trPr>
          <w:trHeight w:val="283"/>
        </w:trPr>
        <w:tc>
          <w:tcPr>
            <w:tcW w:w="10205" w:type="dxa"/>
            <w:gridSpan w:val="6"/>
            <w:shd w:val="clear" w:color="auto" w:fill="FFFFFF"/>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74EEC" w:rsidTr="00274EEC">
        <w:tblPrEx>
          <w:tblCellMar>
            <w:top w:w="0" w:type="dxa"/>
            <w:bottom w:w="0" w:type="dxa"/>
          </w:tblCellMar>
        </w:tblPrEx>
        <w:trPr>
          <w:trHeight w:val="283"/>
        </w:trPr>
        <w:tc>
          <w:tcPr>
            <w:tcW w:w="10205" w:type="dxa"/>
            <w:gridSpan w:val="6"/>
            <w:shd w:val="clear" w:color="auto" w:fill="FFFFFF"/>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274EEC" w:rsidTr="00274EEC">
        <w:tblPrEx>
          <w:tblCellMar>
            <w:top w:w="0" w:type="dxa"/>
            <w:bottom w:w="0" w:type="dxa"/>
          </w:tblCellMar>
        </w:tblPrEx>
        <w:trPr>
          <w:trHeight w:val="283"/>
        </w:trPr>
        <w:tc>
          <w:tcPr>
            <w:tcW w:w="10205" w:type="dxa"/>
            <w:gridSpan w:val="6"/>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74EEC" w:rsidTr="00274EEC">
        <w:tblPrEx>
          <w:tblCellMar>
            <w:top w:w="0" w:type="dxa"/>
            <w:bottom w:w="0" w:type="dxa"/>
          </w:tblCellMar>
        </w:tblPrEx>
        <w:trPr>
          <w:trHeight w:val="283"/>
        </w:trPr>
        <w:tc>
          <w:tcPr>
            <w:tcW w:w="10205" w:type="dxa"/>
            <w:gridSpan w:val="6"/>
            <w:shd w:val="clear" w:color="auto" w:fill="FFFFFF"/>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4EEC" w:rsidSect="00274EE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BetalingEvneForventLønIndBeløbStruktur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BetalingEvneNettoIndkPerÅrBeløbStruktur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BetalingEvneNettoIndkomstBeløbStruktur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BetalingEvneResUdnyttet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BetalingEvneResBeløbStruktur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(MyndighedUdbetalingTypeKategori)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NettoIndkomstIndtastet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NettoIndkomstIndtastetMetodeListe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NettoIndkomstIndtastetMetode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(BetalingEvneNettoIndkomstIndtastetSagsbehandlerBegrundelse)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PeriodeStartDato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PeriodeSlutDato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NettoIndkomstBeregnet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NettoIndkomstBeregningMetodeStruktur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NettoIndkomstBeregningSpecifikatonGruppeSamling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NettoIndkomstBeregningSpecifikatonGruppeStruktur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4EEC" w:rsidTr="00274EEC">
        <w:tblPrEx>
          <w:tblCellMar>
            <w:top w:w="0" w:type="dxa"/>
            <w:bottom w:w="0" w:type="dxa"/>
          </w:tblCellMar>
        </w:tblPrEx>
        <w:tc>
          <w:tcPr>
            <w:tcW w:w="10205" w:type="dxa"/>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4EEC" w:rsidTr="00274EEC">
        <w:tblPrEx>
          <w:tblCellMar>
            <w:top w:w="0" w:type="dxa"/>
            <w:bottom w:w="0" w:type="dxa"/>
          </w:tblCellMar>
        </w:tblPrEx>
        <w:tc>
          <w:tcPr>
            <w:tcW w:w="10205" w:type="dxa"/>
            <w:shd w:val="clear" w:color="auto" w:fill="FFFFFF"/>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NettoIndkomstBeregningMetodeStruktur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ÅrsopgørelseIndkomstÅr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ÅrsopgørelseNummer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NettoIndkomstBeregningSpecifikatonGruppeStruktur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NettoIndkomstBeregningSpecifikationGruppeNavn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NettoIndkomstBeregningSpecifikatonSamling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NettoIndkomstBeregningSpecifikatonStruktur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NettoIndkomstBeregningSpecifikatonRubrik</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NettoIndkomstBeregningSpecifikatonTekst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NettoIndkomstBeregningSpecifikatonVærdi</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SBetalingEvneBeløbStruktur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SBetalingEvneResStruktur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SBetalingEvneResNummer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SBetalingEvneResStartDato</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SBetalingEvneBeregnLønIndProcent</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SLønIndeholdelseIkkeUdnyttetBeløbStruktur</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4EEC" w:rsidTr="00274EEC">
        <w:tblPrEx>
          <w:tblCellMar>
            <w:top w:w="0" w:type="dxa"/>
            <w:bottom w:w="0" w:type="dxa"/>
          </w:tblCellMar>
        </w:tblPrEx>
        <w:trPr>
          <w:trHeight w:hRule="exact" w:val="113"/>
        </w:trPr>
        <w:tc>
          <w:tcPr>
            <w:tcW w:w="10205" w:type="dxa"/>
            <w:shd w:val="clear" w:color="auto" w:fill="D2DCF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4EEC" w:rsidTr="00274EEC">
        <w:tblPrEx>
          <w:tblCellMar>
            <w:top w:w="0" w:type="dxa"/>
            <w:bottom w:w="0" w:type="dxa"/>
          </w:tblCellMar>
        </w:tblPrEx>
        <w:tc>
          <w:tcPr>
            <w:tcW w:w="10205" w:type="dx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SLønIndeholdelseIkkeUdnyttetBeløbStruktur</w:t>
            </w:r>
          </w:p>
        </w:tc>
      </w:tr>
      <w:tr w:rsidR="00274EEC" w:rsidTr="00274EEC">
        <w:tblPrEx>
          <w:tblCellMar>
            <w:top w:w="0" w:type="dxa"/>
            <w:bottom w:w="0" w:type="dxa"/>
          </w:tblCellMar>
        </w:tblPrEx>
        <w:tc>
          <w:tcPr>
            <w:tcW w:w="10205" w:type="dxa"/>
            <w:vAlign w:val="center"/>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(SLønIndeholdelseIkkeUdnyttetBeløbDKK)</w:t>
            </w:r>
          </w:p>
        </w:tc>
      </w:tr>
    </w:tbl>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4EEC" w:rsidSect="00274EEC">
          <w:headerReference w:type="default" r:id="rId13"/>
          <w:pgSz w:w="11906" w:h="16838"/>
          <w:pgMar w:top="567" w:right="567" w:bottom="567" w:left="1134" w:header="283" w:footer="708" w:gutter="0"/>
          <w:cols w:space="708"/>
          <w:docGrid w:linePitch="360"/>
        </w:sect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74EEC" w:rsidTr="00274EEC">
        <w:tblPrEx>
          <w:tblCellMar>
            <w:top w:w="0" w:type="dxa"/>
            <w:bottom w:w="0" w:type="dxa"/>
          </w:tblCellMar>
        </w:tblPrEx>
        <w:trPr>
          <w:tblHeader/>
        </w:trPr>
        <w:tc>
          <w:tcPr>
            <w:tcW w:w="3401" w:type="dxa"/>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 Når kundens betalingsevne er ukendt returneres detaljerede årsagskoder, der viser hvilket trin beregningen er nået til.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Kundens betalingsevne er ukendt pga manglende datagrundlag for beregningen. Oprettelsen af kunden i betalingsevneberegningen er afsluttet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UKNIBB: Kundens betalingsevne er ukendt pga. manglende data fra NIB. Nettoindkomstdata er bestilt i NIB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UKNIBM: Kundens betalingsevne er ukendt pga manglende data til beregning i NIB. Svar er modtaget fra NIB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UKOPRE: Kundens betalingsevne er ukendt pga. manglende datagrundlag for beregningen. Kunden er under oprettelse i betalingsevneberegningen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UKSKKO: Kundens betalingsevne er ukendt pga. manglende manglende skattekort eller manglende svar fra eIndkomst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BetalingEvneEnhedPeriode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Standarværdien er kroner per.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 (I danske kroner).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 i perioden.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danske kroner) i perioden.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BetalingEvneNettoIndkomstIndtastetSagsbehandlerBegrundelse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for den indtastede nettoindkomst og dens 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BetalingEvneRedLønIndProcent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indsatser i EFI eller DMI til modregning i myndighedsudbetalingstypen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af indsatser i EFI eller DMI til modregning i myndighedsudbetalingstypen - i danske kroner.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BetalingEvneResStartDato</w:t>
            </w:r>
          </w:p>
        </w:tc>
        <w:tc>
          <w:tcPr>
            <w:tcW w:w="17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BetalingEvneResUdnyttet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om reservationen er udnyttet i den indeværende måned. Værdisæt Ja, Nej</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i indeværende måned, når DMI kalder EFIBetalingEvneAendr for denne myndighedsudbetalingstype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 M</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017: Andelsforening (FAF)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w:t>
            </w:r>
            <w:r>
              <w:rPr>
                <w:rFonts w:ascii="Arial" w:hAnsi="Arial" w:cs="Arial"/>
                <w:sz w:val="18"/>
              </w:rPr>
              <w:lastRenderedPageBreak/>
              <w:t>NG, HENSTAND, KREDITOPLYSBUREAU, LOENINDEHOLDELSE, MANUELSAGSBEHANDL, RYKKER, UDLAEG, KUNDEMOEDE</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UDLAEG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MyndighedUdbetalingTypeKategori</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Kategori 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Kategori 2</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SÆLØ: S-løn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NettoIndkomstBeregningSpecifikationGruppeNavn</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tekster fra f.eks. selvangivelsens gruppeoverskrifter.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NettoIndkomstBeregningSpecifikatonRubrik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NettoIndkomstBeregningSpecifikatonTekst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f.eks. selvangivelsens rubrikoverskrift.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NettoIndkomstBeregningSpecifikatonVærdi</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PeriodeSlutDato</w:t>
            </w:r>
          </w:p>
        </w:tc>
        <w:tc>
          <w:tcPr>
            <w:tcW w:w="17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PeriodeStartDato definerer en 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PeriodeStartDato</w:t>
            </w:r>
          </w:p>
        </w:tc>
        <w:tc>
          <w:tcPr>
            <w:tcW w:w="17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PeriodeSlutDato definerer en periode.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 eller tidsangivelse i form af et specifikt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SBetalingEvneResNummer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SBetalingEvneResStartDato</w:t>
            </w:r>
          </w:p>
        </w:tc>
        <w:tc>
          <w:tcPr>
            <w:tcW w:w="17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SLønIndeholdelseIkkeUdnyttetBeløbDKK</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ÅrsopgørelseIndkomstÅr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indkomstår, f.eks. 2009</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4EEC" w:rsidTr="00274EEC">
        <w:tblPrEx>
          <w:tblCellMar>
            <w:top w:w="0" w:type="dxa"/>
            <w:bottom w:w="0" w:type="dxa"/>
          </w:tblCellMar>
        </w:tblPrEx>
        <w:tc>
          <w:tcPr>
            <w:tcW w:w="3401" w:type="dxa"/>
          </w:tcPr>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ÅrsopgørelseNummer</w:t>
            </w:r>
          </w:p>
        </w:tc>
        <w:tc>
          <w:tcPr>
            <w:tcW w:w="170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den aktuelle årsopgørelse.</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4EEC" w:rsidRPr="00274EEC" w:rsidRDefault="00274EEC" w:rsidP="00274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4EEC" w:rsidRPr="00274EEC" w:rsidSect="00274EE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EEC" w:rsidRDefault="00274EEC" w:rsidP="00274EEC">
      <w:pPr>
        <w:spacing w:line="240" w:lineRule="auto"/>
      </w:pPr>
      <w:r>
        <w:separator/>
      </w:r>
    </w:p>
  </w:endnote>
  <w:endnote w:type="continuationSeparator" w:id="0">
    <w:p w:rsidR="00274EEC" w:rsidRDefault="00274EEC" w:rsidP="00274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Default="00274E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Pr="00274EEC" w:rsidRDefault="00274EEC" w:rsidP="00274E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EFIBetalingEvneÆndr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Default="00274EE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EEC" w:rsidRDefault="00274EEC" w:rsidP="00274EEC">
      <w:pPr>
        <w:spacing w:line="240" w:lineRule="auto"/>
      </w:pPr>
      <w:r>
        <w:separator/>
      </w:r>
    </w:p>
  </w:footnote>
  <w:footnote w:type="continuationSeparator" w:id="0">
    <w:p w:rsidR="00274EEC" w:rsidRDefault="00274EEC" w:rsidP="00274E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Default="00274E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Pr="00274EEC" w:rsidRDefault="00274EEC" w:rsidP="00274EEC">
    <w:pPr>
      <w:pStyle w:val="Sidehoved"/>
      <w:jc w:val="center"/>
      <w:rPr>
        <w:rFonts w:ascii="Arial" w:hAnsi="Arial" w:cs="Arial"/>
      </w:rPr>
    </w:pPr>
    <w:r w:rsidRPr="00274EEC">
      <w:rPr>
        <w:rFonts w:ascii="Arial" w:hAnsi="Arial" w:cs="Arial"/>
      </w:rPr>
      <w:t>Servicebeskrivelse</w:t>
    </w:r>
  </w:p>
  <w:p w:rsidR="00274EEC" w:rsidRPr="00274EEC" w:rsidRDefault="00274EEC" w:rsidP="00274E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Default="00274E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Pr="00274EEC" w:rsidRDefault="00274EEC" w:rsidP="00274EEC">
    <w:pPr>
      <w:pStyle w:val="Sidehoved"/>
      <w:jc w:val="center"/>
      <w:rPr>
        <w:rFonts w:ascii="Arial" w:hAnsi="Arial" w:cs="Arial"/>
      </w:rPr>
    </w:pPr>
    <w:r w:rsidRPr="00274EEC">
      <w:rPr>
        <w:rFonts w:ascii="Arial" w:hAnsi="Arial" w:cs="Arial"/>
      </w:rPr>
      <w:t>Datastrukturer</w:t>
    </w:r>
  </w:p>
  <w:p w:rsidR="00274EEC" w:rsidRPr="00274EEC" w:rsidRDefault="00274EEC" w:rsidP="00274EE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EC" w:rsidRDefault="00274EEC" w:rsidP="00274EEC">
    <w:pPr>
      <w:pStyle w:val="Sidehoved"/>
      <w:jc w:val="center"/>
      <w:rPr>
        <w:rFonts w:ascii="Arial" w:hAnsi="Arial" w:cs="Arial"/>
      </w:rPr>
    </w:pPr>
    <w:r>
      <w:rPr>
        <w:rFonts w:ascii="Arial" w:hAnsi="Arial" w:cs="Arial"/>
      </w:rPr>
      <w:t>Data elementer</w:t>
    </w:r>
  </w:p>
  <w:p w:rsidR="00274EEC" w:rsidRPr="00274EEC" w:rsidRDefault="00274EEC" w:rsidP="00274E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02118"/>
    <w:multiLevelType w:val="multilevel"/>
    <w:tmpl w:val="C7A23E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EC"/>
    <w:rsid w:val="00274EEC"/>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BB8AA-1405-49B6-B846-81620A21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74EE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74EE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74EE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74EE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74EE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74EE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74EE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74EE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4EE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4EE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74EE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74EE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74EE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74EE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74EE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74EE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74EE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4EE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74E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74EEC"/>
    <w:rPr>
      <w:rFonts w:ascii="Arial" w:hAnsi="Arial" w:cs="Arial"/>
      <w:b/>
      <w:sz w:val="30"/>
    </w:rPr>
  </w:style>
  <w:style w:type="paragraph" w:customStyle="1" w:styleId="Overskrift211pkt">
    <w:name w:val="Overskrift 2 + 11 pkt"/>
    <w:basedOn w:val="Normal"/>
    <w:link w:val="Overskrift211pktTegn"/>
    <w:rsid w:val="00274E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4EEC"/>
    <w:rPr>
      <w:rFonts w:ascii="Arial" w:hAnsi="Arial" w:cs="Arial"/>
      <w:b/>
    </w:rPr>
  </w:style>
  <w:style w:type="paragraph" w:customStyle="1" w:styleId="Normal11">
    <w:name w:val="Normal + 11"/>
    <w:basedOn w:val="Normal"/>
    <w:link w:val="Normal11Tegn"/>
    <w:rsid w:val="00274E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74EEC"/>
    <w:rPr>
      <w:rFonts w:ascii="Times New Roman" w:hAnsi="Times New Roman" w:cs="Times New Roman"/>
    </w:rPr>
  </w:style>
  <w:style w:type="paragraph" w:styleId="Sidehoved">
    <w:name w:val="header"/>
    <w:basedOn w:val="Normal"/>
    <w:link w:val="SidehovedTegn"/>
    <w:uiPriority w:val="99"/>
    <w:unhideWhenUsed/>
    <w:rsid w:val="00274E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74EEC"/>
  </w:style>
  <w:style w:type="paragraph" w:styleId="Sidefod">
    <w:name w:val="footer"/>
    <w:basedOn w:val="Normal"/>
    <w:link w:val="SidefodTegn"/>
    <w:uiPriority w:val="99"/>
    <w:unhideWhenUsed/>
    <w:rsid w:val="00274E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74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3883</Words>
  <Characters>23693</Characters>
  <Application>Microsoft Office Word</Application>
  <DocSecurity>0</DocSecurity>
  <Lines>197</Lines>
  <Paragraphs>55</Paragraphs>
  <ScaleCrop>false</ScaleCrop>
  <Company>skat</Company>
  <LinksUpToDate>false</LinksUpToDate>
  <CharactersWithSpaces>27521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2018-06-06T08:46:00Z</dcterms:created>
  <dcterms:modified xsi:type="dcterms:W3CDTF">2018-06-06T08:46:00Z</dcterms:modified>
</cp:coreProperties>
</file>