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SKATLigningSagOpret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"SKAT Ligning"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1.17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17-07-2012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30-11-2020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Gør det muligt at oprette en sag til sagsbehandling i SKAT-Ligning med tilhørende information.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Denne service kaldes hver gang en ændring (ansøgning) skal godkendes af en sagsbehandler i SKAT-Ligning. Servicen opretter så en sag på den pågældende ansøgning.</w:t>
              <w:br/>
              <w:t>Input til service er alle relevante informationer.</w:t>
              <w:br/>
              <w:t/>
              <w:br/>
              <w:t>Output er det unikke sagsnummer på den oprettede sag.</w:t>
              <w:br/>
              <w:t/>
              <w:br/>
              <w:t>Servicen anvendes bl.a. til at sende ansøgning om omlægning af indkomstår videre til SKAT Ligning.</w:t>
              <w:br/>
              <w:t/>
              <w:br/>
              <w:t>I det generiske felt LigningSagIndhold indsættes en sagstruktur med detailoplysninger for den respektive sag. Hver type sag har sin egen sagstruktur.</w:t>
              <w:br/>
              <w:t/>
              <w:br/>
              <w:t>MANGLER: LigningSagTilmeldSkattepligtForholdStruktur er ikke udfyldt.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LigningSagIndhold udfyldes med det schema som passer til sagstypen.</w:t>
              <w:br/>
              <w:t/>
              <w:br/>
              <w:t>Ved omlægning af regnskabsperiode:</w:t>
              <w:br/>
              <w:t>Selve ansøgningen til SKAT-Ligning indeholder et sæt før-værdier og et sæt ønskede efter-værdier (+ overgangsperiode).</w:t>
              <w:br/>
              <w:t>Når ansøgningen er godkendt, er omlægningen sket, og så opdateres før-værdierne (så de to sæt værdier ikke længere er forskellige):</w:t>
              <w:br/>
              <w:t>- VirksomhedRegnskabPeriodeIndkomstÅr  sættes lig VirksomhedRegnskabPeriodeIndkomstÅr</w:t>
              <w:br/>
              <w:t>- VirksomhedRegnskabPeriodeStartDato  sættes lig RegnskabPeriodeOmlægningStartDato</w:t>
              <w:br/>
              <w:t>- VirksomhedRegnskabPeriodeSlutDato  sættes lig RegnskabPeriodeOmlægningSlutDato.</w:t>
              <w:br/>
              <w:t>VirksomhedRegnskabPeriodeIndkomstÅr og SelskabSelvangivelseIndkomstÅr (i SKATLigningSagOpret_I) sættes altid til samme årstal.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SKATLigningSagOpret_I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FagsystemNavn</w:t>
              <w:br/>
              <w:t>MyndighedNummer</w:t>
              <w:br/>
              <w:t>SagAfsenderReference</w:t>
              <w:br/>
              <w:t>*Kunde*</w:t>
              <w:br/>
              <w:t>[</w:t>
              <w:br/>
              <w:t/>
              <w:tab/>
              <w:t>VirksomhedSENummer</w:t>
              <w:br/>
              <w:t>]</w:t>
              <w:br/>
              <w:t>LigningSagTypeKode</w:t>
              <w:br/>
              <w:t>LigningSagIndhold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SKATLigningSagOpret_O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SKATLigningSagOpret_FejlId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Initielt vil det kun være systemet DIAS som kommer til at anvende denne service.</w:t>
              <w:br/>
              <w:t/>
              <w:br/>
              <w:t>Dokumenter til en sag kan enten vedhæftes som filer eller man kan angive dokumentnumrene på de respektive filer i CAPTIA. Dokumentnumrene er herefter nok til at SKAT-Ligning kan hente dokumenterne og alle deres meta-data i CAPTIA.</w:t>
              <w:br/>
              <w:t/>
              <w:br/>
              <w:t>Tekniske krav:</w:t>
              <w:br/>
              <w:t>Servicen skal udstilles på en servicebus som overholder standarderne i SKAT Arkitekturguidelines. Dette bør koordineres med SKAT Arkitektur.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Servicen skal udstilles på en servicebus som overholder standarderne i SKAT Arkitekturguidelines. Dette bør koordineres med SKAT Arkitektur.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DokumentNummerListeStruktur</w:t>
            </w:r>
            <w:bookmarkStart w:name="DokumentNummerListe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*DokumentNummerListe*</w:t>
              <w:br/>
              <w:t>1{</w:t>
              <w:br/>
              <w:t/>
              <w:tab/>
              <w:t>DokumentNummer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BeskatningParagrafForholdStartDato</w:t>
            </w:r>
            <w:bookmarkStart w:name="BeskatningParagrafForhold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den første dag en beskatningsparagraf er gyldig for en given virksomhed og pligt.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BeskatningParagrafTypeKode</w:t>
            </w:r>
            <w:bookmarkStart w:name="BeskatningParagraf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der entydigt identificerer beskatningsparagraffen.</w:t>
              <w:br/>
              <w:t/>
              <w:br/>
              <w:t>Værdisæt:</w:t>
              <w:br/>
              <w:t>01: § 1.1.1</w:t>
              <w:br/>
              <w:t>02: § 1.1.2</w:t>
              <w:br/>
              <w:t>03: § 1.1.2.a</w:t>
              <w:br/>
              <w:t>04: § 1.1.3</w:t>
              <w:br/>
              <w:t>05: § 1.1.3.a</w:t>
              <w:br/>
              <w:t>06: § 1.1.4</w:t>
              <w:br/>
              <w:t>07: § 1.1.5</w:t>
              <w:br/>
              <w:t>08: § 1.1.5.a</w:t>
              <w:br/>
              <w:t>09: § 1.1.5.b</w:t>
              <w:br/>
              <w:t>10: § 1.1.6</w:t>
              <w:br/>
              <w:t>11: § 1.1</w:t>
              <w:br/>
              <w:t>12: § 1.2</w:t>
              <w:br/>
              <w:t>13: § 1.3</w:t>
              <w:br/>
              <w:t>14: § 2.1</w:t>
              <w:br/>
              <w:t>15: § 1.1.2.b</w:t>
              <w:br/>
              <w:t>17: § 1.4</w:t>
              <w:br/>
              <w:t>18: § 1.5</w:t>
              <w:br/>
              <w:t>19: §-oplysning findes ikke</w:t>
              <w:br/>
              <w:t>20: § 1.1.2.e</w:t>
              <w:br/>
              <w:t>21: § 1.1.2.f</w:t>
              <w:br/>
              <w:t>22: § 3.1.5</w:t>
              <w:br/>
              <w:t>23: § 3.1.6</w:t>
              <w:br/>
              <w:t>24: § 3.7</w:t>
              <w:br/>
              <w:t>25: Ingen</w:t>
              <w:br/>
              <w:t>26: § 1.6</w:t>
              <w:br/>
              <w:t>27: § 1.1.7</w:t>
              <w:br/>
              <w:t>28: § 1.1.8</w:t>
              <w:br/>
              <w:t>29: ?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navn til identifikation af IT-system.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LigningSagIndhold</w:t>
            </w:r>
            <w:bookmarkStart w:name="LigningSagIndho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anyXML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Detailoplysninger om den specifikke SKAT-Ligning sag.</w:t>
              <w:br/>
              <w:t>Skal overholde et af de respektive SKAT-Ligning sag skemaer (Eksempelvis skemaet for LigningSagSelvangivelseGenoptagelseStruktur.)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LigningSagTypeKode</w:t>
            </w:r>
            <w:bookmarkStart w:name="LigningSa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typen for en SKAT-Ligning sag.</w:t>
              <w:br/>
              <w:t/>
              <w:br/>
              <w:t>Værdisæt:</w:t>
              <w:br/>
              <w:t>BSKPGF: Ændring af beskatningsparagraf</w:t>
              <w:br/>
              <w:t>EFTSKT: Eftergivelse af skattetillæg</w:t>
              <w:br/>
              <w:t>MANUEL: Sag til manuel behandling</w:t>
              <w:br/>
              <w:t>MTSKPL: Ændre midlertidig skattepligt</w:t>
              <w:br/>
              <w:t>OMLREG: Omlægning af regnskabsperiode</w:t>
              <w:br/>
              <w:t>REGVAL: Ændring af regnskabsvaluta</w:t>
              <w:br/>
              <w:t>SELGEN: Genoptagelse af selvangivelse</w:t>
              <w:br/>
              <w:t>SELUDS: Udsættelse af selvangivelse</w:t>
              <w:br/>
              <w:t>SKØNAN: Skønsmæssig ansættelse af selvangivelse</w:t>
              <w:br/>
              <w:t>SKFOMS: Skattefri omstrukturering</w:t>
              <w:br/>
              <w:t>FORSKUDV: Ansøgning om skattekredit</w:t>
              <w:br/>
              <w:t>PENSEJD: Manuel skat visse pensionsinstitutter</w:t>
              <w:br/>
              <w:t>TONBASDAG: Ændring af basisdag Tonnage</w:t>
              <w:br/>
              <w:t>DISGODAFV: Godkend/afvist sag om godkendelse til udbetaling af skattefri nettohyre</w:t>
              <w:br/>
              <w:t>VANDSEK: Grundregistreringssag vedrørende Vandsektorloven</w:t>
              <w:br/>
              <w:t>ANMOPHØR: Anmodning om ophør</w:t>
              <w:br/>
              <w:t>GENOPTAG: Sag om genoptagelse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MidlertidigSkattepligtSkiftVirkningDato</w:t>
            </w:r>
            <w:bookmarkStart w:name="MidlertidigSkattepligtSkiftVirk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Virkningsdato for indtrædelse/udtrædelse af midlertidig ej skattepligtig.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Nummer der entydigt identificerer den for SKAT relevante myndighed.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RegnskabPeriodeOmlægningIndkomstÅr</w:t>
            </w:r>
            <w:bookmarkStart w:name="RegnskabPeriodeOmlægni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det aktuelle efter omlægning af regnskabsperiode.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RegnskabPeriodeOmlægningOvergangIndkomstÅr</w:t>
            </w:r>
            <w:bookmarkStart w:name="RegnskabPeriodeOmlægningOverga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aktuelt i overgangsperioden under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RegnskabPeriodeOmlægningOvergangSlutDato</w:t>
            </w:r>
            <w:bookmarkStart w:name="RegnskabPeriodeOmlægningOverga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RegnskabPeriodeOmlægningOvergangStartDato</w:t>
            </w:r>
            <w:bookmarkStart w:name="RegnskabPeriodeOmlægningOverga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RegnskabPeriodeOmlægningSlutDato</w:t>
            </w:r>
            <w:bookmarkStart w:name="RegnskabPeriodeOmlægni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nye regnskabsperiode efter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RegnskabPeriodeOmlægningStartDato</w:t>
            </w:r>
            <w:bookmarkStart w:name="RegnskabPeriodeOmlægni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Startdato for den nye regnskabsperiode efter omlægning.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SagAfsenderReference</w:t>
            </w:r>
            <w:bookmarkStart w:name="SagAfsenderReferenc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 reference som kan anvendes til at spore sager tilbage til afsender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SelskabSkattepligtTilmeldt</w:t>
            </w:r>
            <w:bookmarkStart w:name="SelskabSkattepligtTilmel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selskabet er tilmeldt som selskabsskattepligtigt.</w:t>
              <w:br/>
              <w:t>(Ved bestilling sættes feltet til den ØNSKEDE tilstand)</w:t>
              <w:br/>
              <w:t>(true = ja, false = nej)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SkattefriOmstruktureringAftaleDato</w:t>
            </w:r>
            <w:bookmarkStart w:name="SkattefriOmstruktureringAftal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Aftale-dato for den skattefri omstrukturering.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SkattefriOmstruktureringIndberetningDato</w:t>
            </w:r>
            <w:bookmarkStart w:name="SkattefriOmstruktureringIndberet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hvor den skattefri indberetning er indberettet.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SkattefriOmstruktureringVirkningDato</w:t>
            </w:r>
            <w:bookmarkStart w:name="SkattefriOmstruktureringVirk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hvor den skattefri omstrukturering træder i kraft (får retsvirkning).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SkatteRegnskabValutaCentralBankNavn</w:t>
            </w:r>
            <w:bookmarkStart w:name="SkatteRegnskabValutaCentralBank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Navn på centralbanken som anvendes til kurs-ansættelse af fremmed valuta i skatteregnskabet.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SkatteRegnskabValutaKode</w:t>
            </w:r>
            <w:bookmarkStart w:name="SkatteRegnskabValut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</w:t>
              <w:br/>
              <w:t>pattern: [A-Z]{3}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Valutakode for den valuta som skatteregnskabet er angivet i.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VirksomhedBeskatningParagrafSelskabskatProcent</w:t>
            </w:r>
            <w:bookmarkStart w:name="VirksomhedBeskatningParagrafSelskabskatProcen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4</w:t>
              <w:br/>
              <w:t>maxInclusive: 100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Taksten for selskabsskat i relation til den aktuelle beskatningsparagraf.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VirksomhedRegnskabPeriodeIndkomstÅr</w:t>
            </w:r>
            <w:bookmarkStart w:name="VirksomhedRegnskabPeriod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Indkomståret som regnskabsperioden gælder for.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VirksomhedRegnskabPeriodeOmlægningÅrsagKode</w:t>
            </w:r>
            <w:bookmarkStart w:name="VirksomhedRegnskabPeriodeOmlægningÅrsag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begrundelsen for omlægning af regnskabsår.</w:t>
              <w:br/>
              <w:t/>
              <w:br/>
              <w:t>Værdisæt:</w:t>
              <w:br/>
              <w:t>ANDRE: Andre forhold.</w:t>
              <w:br/>
              <w:t>OMLADM: Omlægning af administrationsselskabets indkomstår - etablering af koncernforbindelse.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VirksomhedRegnskabPeriodeStartDato</w:t>
            </w:r>
            <w:bookmarkStart w:name="VirksomhedRegnskabPeriode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30-11-2020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SKATLigningSagOpret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