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DIASMeddelelseStrukturer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1.7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22-01-2014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07-09-2022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Strukturerne som anvendes til de respektive brevskabeloner er følgende:</w:t>
              <w:br/>
              <w:t/>
              <w:br/>
              <w:t>MT01</w:t>
              <w:br/>
              <w:t>DIASMeddelelseAnmodningSambeskatningStruktur</w:t>
              <w:br/>
              <w:t/>
              <w:br/>
              <w:t>MT02</w:t>
              <w:br/>
              <w:t>DIASMeddelelseFjernetFraSambeskatningskredsStruktur</w:t>
              <w:br/>
              <w:t/>
              <w:br/>
              <w:t>MT03</w:t>
              <w:br/>
              <w:t>DIASMeddelelseSambeskatningAnmodningSvarStruktur</w:t>
              <w:br/>
              <w:t/>
              <w:br/>
              <w:t>MT04</w:t>
              <w:br/>
              <w:t>DIASMeddelelseTilføjetSambeskatningskredsStruktur</w:t>
              <w:br/>
              <w:t/>
              <w:br/>
              <w:t>MT05</w:t>
              <w:br/>
              <w:t>DIASMeddelelseAngivetIndskyderOmstruktureringStruktur</w:t>
              <w:br/>
              <w:t/>
              <w:br/>
              <w:t>MT06</w:t>
              <w:br/>
              <w:t>DIASMeddelelseSvarOmstruktureringStruktur</w:t>
              <w:br/>
              <w:t/>
              <w:br/>
              <w:t>MT07</w:t>
              <w:br/>
              <w:t>DIASMeddelelsePåmindTilmeldTonnageStruktur</w:t>
              <w:br/>
              <w:t/>
              <w:br/>
              <w:t>MT08</w:t>
              <w:br/>
              <w:t>DIASMeddelelsePåmindTilmeldInternationalSambeskatningStruktur</w:t>
              <w:br/>
              <w:t/>
              <w:br/>
              <w:t>MT09</w:t>
              <w:br/>
              <w:t>DIASMeddelelseAfmeldtTonnageskatAdvisStruktur</w:t>
              <w:br/>
              <w:t/>
              <w:br/>
              <w:t>MT10</w:t>
              <w:br/>
              <w:t>DIASMeddelelseAfmeldtInternationalSambeskatningAdvisStruktur</w:t>
              <w:br/>
              <w:t/>
              <w:br/>
              <w:t>MT11</w:t>
              <w:br/>
              <w:t>DIASMeddelelsePåmindSnarligSelvangivelseStruktur</w:t>
              <w:br/>
              <w:t/>
              <w:br/>
              <w:t>MT12</w:t>
              <w:br/>
              <w:t>DIASMeddelelseRykkerManglendeSelvangivelseStruktur</w:t>
              <w:br/>
              <w:t/>
              <w:br/>
              <w:t>MT13</w:t>
              <w:br/>
              <w:t>DIASMeddelelseForlængelseRegnskabsperiodeAdvisStruktur</w:t>
              <w:br/>
              <w:t>DIASMeddelelseManglendeOplysningsskemaFuldtSkattetillægStruktur</w:t>
              <w:br/>
              <w:t/>
              <w:br/>
              <w:t>MT14</w:t>
              <w:br/>
              <w:t>DIASMeddelelseUdpegetAdministrationsselskabStruktur</w:t>
              <w:br/>
              <w:t/>
              <w:br/>
              <w:t>MT15</w:t>
              <w:br/>
              <w:t>DIASMeddelelseUdtrådtAdministrationsselskabStruktur</w:t>
              <w:br/>
              <w:t/>
              <w:br/>
              <w:t>MT17</w:t>
              <w:br/>
              <w:t>DIASMeddelelsePåmindAfmeldTonnageStruktur</w:t>
              <w:br/>
              <w:t/>
              <w:br/>
              <w:t>MT18</w:t>
              <w:br/>
              <w:t>DIASMeddelelseSelvangivetAfSælgerStruktur</w:t>
              <w:br/>
              <w:t/>
              <w:br/>
              <w:t>MT30</w:t>
              <w:br/>
              <w:t>DIASMeddelelseSambeskatningAnmodningSystemAfvisningStruktur</w:t>
              <w:br/>
              <w:t/>
              <w:br/>
              <w:t>MT31</w:t>
              <w:br/>
              <w:t>DIASMeddelelseOmstruktureringAnmodningSystemAfvisningStruktur</w:t>
              <w:br/>
              <w:t/>
              <w:br/>
              <w:t>MT34</w:t>
              <w:br/>
              <w:t>DIASMeddelelseKvitteringAnmodningGenoptagelseStruktur</w:t>
              <w:br/>
              <w:t/>
              <w:br/>
              <w:t>MT35</w:t>
              <w:br/>
              <w:t>DIASMeddelelseSkattekreditStruktur</w:t>
              <w:br/>
              <w:t/>
              <w:br/>
              <w:t>MT36</w:t>
              <w:br/>
              <w:t>DIASMeddelelseTonnageBindingsperiodeSlutStruktur</w:t>
              <w:br/>
              <w:t/>
              <w:br/>
              <w:t>MT37</w:t>
              <w:br/>
              <w:t>DIASMeddelelseKvitteringBehandletAnmodningGenoptagelsestruktur</w:t>
              <w:br/>
              <w:t/>
              <w:br/>
              <w:t>MT38</w:t>
              <w:br/>
              <w:t>DIASMeddelelseAcontoskatOpkrævningStruktur</w:t>
              <w:br/>
              <w:t/>
              <w:br/>
              <w:t>MT39</w:t>
              <w:br/>
              <w:t>DIASMeddelelsePåmindTPDokumentationStruktur</w:t>
              <w:br/>
              <w:t/>
              <w:br/>
              <w:t>MT40</w:t>
              <w:br/>
              <w:t>DIASMeddelelsePåmindCFCSubstanstestStruktur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</w:tbl>
    <w:p>
      <w:r>
        <w:br w:type="page"/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LigningSagAfgørelseModtag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1.13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17-07-2012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31-08-2022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Anvendes til at Selskabsskat-systemet kan modtage afgørelser fra SKAT-Ligning og at ændringer derfor må gennemføres.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SKØNSMÆSSIG ANSÆTTELSE skal udgå!</w:t>
              <w:br/>
              <w:t/>
              <w:br/>
              <w:t>Hver type sag har sin egen sagstruktur, som er modelleret som hver sin attribut. I det generiske felt LigningAfgørelseIndhold peges på den relevante sagstruktur med detailoplysninger for den respektive sag, og tilsvarende angives sagtypen i feltet LigningSagTypeKode.</w:t>
              <w:br/>
              <w:t>- Der er dog ikke nogen sagsstruktur for svar på sager sager med skattefri omstrukturering, da det kun er selve afgørelsen som er interessant for DIAS.</w:t>
              <w:br/>
              <w:t/>
              <w:br/>
              <w:t>Hvis sagsbehandling for et indkomstår har ført til genoptagelse af andre indkomstår, så skal disse indkomstår angives i svaret til DIAS i BerørteIndkomstÅrListe.</w:t>
              <w:br/>
              <w:t/>
              <w:br/>
              <w:t>MANGLER: LigningAfgørelseTilmeldSkattepligtForholdStruktur er ikke udfyldt.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LigningAfgørelseÆndreBeskatningsparagrafStruktur indeholder et optionelt SE nummer som er en reference til et andet selskab. I første omgang anvendes denne funktionalitet kun ifm. § 2 A-filialbeskatning.</w:t>
              <w:br/>
              <w:t/>
              <w:br/>
              <w:t>Omlægning af regnskabsperiode:</w:t>
              <w:br/>
              <w:t>Indholdet af de tre felter:</w:t>
              <w:br/>
              <w:t>VirksomhedRegnskabPeriodeIndkomstÅr</w:t>
              <w:br/>
              <w:t>VirksomhedRegnskabPeriodeStartDato</w:t>
              <w:br/>
              <w:t>VirksomhedRegnskabPeriodeSlutDato</w:t>
              <w:br/>
              <w:t>er regnskabsperioden efter omlægningen og efter en eventuel overgangsperiode.</w:t>
              <w:br/>
              <w:t/>
              <w:br/>
              <w:t>I servicen er en række datastrukturen tilføjet som attributter i selve klassen i SA. Disse datastrukturer bliver der i koden peget på via dataelementet LigningAfgørelseIndhold, som er placeret i servicens input.</w:t>
              <w:br/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i serviceklassen i SA. Med mindre der er tale om en ændring i de eksisterende datastrukturer.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  <w:br/>
              <w:t>LigningSagTypeKode</w:t>
              <w:br/>
              <w:t>(RessourceNummer)</w:t>
              <w:br/>
              <w:t>*Kunde*</w:t>
              <w:br/>
              <w:t>[</w:t>
              <w:br/>
              <w:t/>
              <w:tab/>
              <w:t>VirksomhedSENummer</w:t>
              <w:br/>
              <w:t>]</w:t>
              <w:br/>
              <w:t>LigningAfgørelseIndhold</w:t>
              <w:br/>
              <w:t>SelskabSagAfgørelseGodkendt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LigningSagAfgørelseModtag_FejlId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LigningSagAfgørelseModtag er modelleret ved, at der i servicen er en række datastrukturer tilføjet som attributter i selve klassen i SA. Disse datastrukturer bliver der i koden peget på via dataelementet LigningAfgørelseIndhold, som er placeret i servicens input.</w:t>
              <w:br/>
              <w:t/>
              <w:br/>
              <w:t>LigningAfgørelseIndhold har datadomænet AnySkat2012XML, som anvendes til at pege på datastrukturerne, der er placeret som attributter i servicen. Skal der i fremtiden oprettes nye dataelementer i servicen, vil det muligvis betyde, at der skal oprettes en ny datastruktur som attribut på serviceklassen, med mindre der er tale om en ændring til en af de eksisterende datastrukturer.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DokumentNummerListeStruktur</w:t>
            </w:r>
            <w:bookmarkStart w:name="DokumentNummerListe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*DokumentNummerListe*</w:t>
              <w:br/>
              <w:t>1{</w:t>
              <w:br/>
              <w:t/>
              <w:tab/>
              <w:t>DokumentNummer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AcontoskatterateBeløb</w:t>
            </w:r>
            <w:bookmarkStart w:name="Acontoskatterate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beløbet for den enkelt Acontoskatterate.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AcontoskatterateIndkomstÅr</w:t>
            </w:r>
            <w:bookmarkStart w:name="Acontoskatterat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Fortæller hvilket indkomstår den enkelte rate vedrører.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AcontoskatterateSRB</w:t>
            </w:r>
            <w:bookmarkStart w:name="AcontoskatterateSR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betalingsdato for en acontoskatterate.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BeskatningParagrafTypeKode</w:t>
            </w:r>
            <w:bookmarkStart w:name="BeskatningParagraf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der entydigt identificerer beskatningsparagraffen.</w:t>
              <w:br/>
              <w:t/>
              <w:br/>
              <w:t>Værdisæt:</w:t>
              <w:br/>
              <w:t>01: § 1.1.1</w:t>
              <w:br/>
              <w:t>02: § 1.1.2</w:t>
              <w:br/>
              <w:t>03: § 1.1.2.a</w:t>
              <w:br/>
              <w:t>04: § 1.1.3</w:t>
              <w:br/>
              <w:t>05: § 1.1.3.a</w:t>
              <w:br/>
              <w:t>06: § 1.1.4</w:t>
              <w:br/>
              <w:t>07: § 1.1.5</w:t>
              <w:br/>
              <w:t>08: § 1.1.5.a</w:t>
              <w:br/>
              <w:t>09: § 1.1.5.b</w:t>
              <w:br/>
              <w:t>10: § 1.1.6</w:t>
              <w:br/>
              <w:t>11: § 1.1</w:t>
              <w:br/>
              <w:t>12: § 1.2</w:t>
              <w:br/>
              <w:t>13: § 1.3</w:t>
              <w:br/>
              <w:t>14: § 2.1</w:t>
              <w:br/>
              <w:t>15: § 1.1.2.b</w:t>
              <w:br/>
              <w:t>17: § 1.4</w:t>
              <w:br/>
              <w:t>18: § 1.5</w:t>
              <w:br/>
              <w:t>19: §-oplysning findes ikke</w:t>
              <w:br/>
              <w:t>20: § 1.1.2.e</w:t>
              <w:br/>
              <w:t>21: § 1.1.2.f</w:t>
              <w:br/>
              <w:t>22: § 3.1.5</w:t>
              <w:br/>
              <w:t>23: § 3.1.6</w:t>
              <w:br/>
              <w:t>24: § 3.7</w:t>
              <w:br/>
              <w:t>25: Ingen</w:t>
              <w:br/>
              <w:t>26: § 1.6</w:t>
              <w:br/>
              <w:t>27: § 1.1.7</w:t>
              <w:br/>
              <w:t>28: § 1.1.8</w:t>
              <w:br/>
              <w:t>29: ?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DIASMeddelelseAnmodningGodkendtMarkering</w:t>
            </w:r>
            <w:bookmarkStart w:name="DIASMeddelelseAnmodningGodkendtMarkerin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om anmodningen er blevet godkendt.</w:t>
              <w:br/>
              <w:t>(true = godkendt, false = afvist)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DokumentNummer</w:t>
            </w:r>
            <w:bookmarkStart w:name="Dokument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Unikt dokument ID allokeret af et system.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IndberetterVirksomhedCVRNummer</w:t>
            </w:r>
            <w:bookmarkStart w:name="Indberetter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</w:t>
            </w:r>
            <w:bookmarkStart w:name="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år, hvor den indkomst, der er lagt til grund for skatteberegningen, er indtjent.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InternationalSambeskatningBindingsperiodeAntalÅr</w:t>
            </w:r>
            <w:bookmarkStart w:name="InternationalSambeskatningBindingsperiodeAntal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  <w:br/>
              <w:t>maxExclusive: 999</w:t>
              <w:br/>
              <w:t>minExclusive: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Parameter som angiver bindingsperioden i antal år (for international sambeskatning).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InternationalSambeskatningBindingsperiodeSlut</w:t>
            </w:r>
            <w:bookmarkStart w:name="InternationalSambeskatningBindings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bindingsperioden for international sambeskatning.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InternationalSambeskatningFornyelseFristDato</w:t>
            </w:r>
            <w:bookmarkStart w:name="InternationalSambeskatningForny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Seneste dato hvor det er muligt at forny tilmeldingen til international sambeskatning.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LigningAfgørelseIndhold</w:t>
            </w:r>
            <w:bookmarkStart w:name="LigningAfgørelseIndho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anyXML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Detailoplysninger om den specifike afgørelse i SKAT-Ligning.</w:t>
              <w:br/>
              <w:t>Skal overholde et af de respektive SKAT-Ligning afgørelse schemaer (eksempelvis LigningAfgørelseOmlægRegnskabsperiodeStruktur)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LigningAfgørelseKendelseDato</w:t>
            </w:r>
            <w:bookmarkStart w:name="LigningAfgørelseKendelse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dato hvor kendelsen har retsvirkning.</w:t>
              <w:br/>
              <w:t>Felt 014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LigningAfgørelseKontrolArtOgDybdeKode</w:t>
            </w:r>
            <w:bookmarkStart w:name="LigningAfgørelseKontrolArtOgDybd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kontrolart og kontroldybde for indkomstansættelsen.</w:t>
              <w:br/>
              <w:t>Felt 055</w:t>
              <w:br/>
              <w:t/>
              <w:br/>
              <w:t>Værdisæt:</w:t>
              <w:br/>
              <w:t>10: Servicebesøg, ingen ansættelsesændringer.</w:t>
              <w:br/>
              <w:t>11: Systemtjek, ingen ansættelsesændringer.</w:t>
              <w:br/>
              <w:t>12: Tjek Ansættelsesændring og ændring i skattepligtig indkomst - Ny årsopgørelse.</w:t>
              <w:br/>
              <w:t>17: Spot Ansættelsesændring og ændring i skattepligtig indkomst - Ny årsopgørelse.</w:t>
              <w:br/>
              <w:t>18: Kontrol Ansættelsesændring og ændring i skattepligtig indkomst - Ny årsopgørelse.</w:t>
              <w:br/>
              <w:t>22: Tjek Enighed mellem skatteyder og SKAT, kode genererer ekstra tekst på årsopgørelsen, altid årsopgørelse uanset ændring i skattepligtig indkomst.</w:t>
              <w:br/>
              <w:t>27 Spot Enighed mellem skatteyder og SKAT, kode genererer ekstra tekst på årsopgørelsen, altid årsopgørelse uanset ændring i skattepligtig indkomst.</w:t>
              <w:br/>
              <w:t>28 Kontrol Enighed mellem skatteyder og SKAT, kode genererer ekstra tekst på årsopgørelsen, altid årsopgørelse uanset ændring i skattepligtig indkomst.</w:t>
              <w:br/>
              <w:t>32: Tjek Ændring af årsopgørelse hvor der ikke er ændring i skattepligtig indkomst.</w:t>
              <w:br/>
              <w:t>37: Spot Ændring af årsopgørelse hvor der ikke er ændring i skattepligtig indkomst.</w:t>
              <w:br/>
              <w:t>38: Kontrol Ændring af årsopgørelse hvor der ikke er ændring i skattepligtig indkomst.</w:t>
              <w:br/>
              <w:t>44: Moder/datterselskab indsættes ved indberetning af indkomstændring fra de særskilte datterselskabskontroller på selve moderselskabet.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LigningAfgørelseLignetBeløb</w:t>
            </w:r>
            <w:bookmarkStart w:name="LigningAfgørelseLigne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Lignet beløb for det aktuelle ligningstema.</w:t>
              <w:br/>
              <w:t>Felt 058, 1058 og 2058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LigningGrundlagFunktionAdskillelseMedarbejderNummer</w:t>
            </w:r>
            <w:bookmarkStart w:name="LigningGrundlagFunktionAdskillelseMedarbejde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Medarbejdernummer på den medarbejder som har foretaget ligningen. (Anvendes til udvælgelse af den medarbejder som skal foretage funktionsadskillelse i SKAT-Ligning).</w:t>
              <w:br/>
              <w:t/>
              <w:br/>
              <w:t>Felt 14a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LigningMyndighedKode</w:t>
            </w:r>
            <w:bookmarkStart w:name="LigningMyndighed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hvad der har initieret en given sag.</w:t>
              <w:br/>
              <w:t>Felt 012</w:t>
              <w:br/>
              <w:t/>
              <w:br/>
              <w:t>Værdisæt:</w:t>
              <w:br/>
              <w:t>11: Teknisk rettelse</w:t>
              <w:br/>
              <w:t>12: Ansættelse på SKATs initiativ</w:t>
              <w:br/>
              <w:t>13: Ansættelse på selskabets initiativ</w:t>
              <w:br/>
              <w:t>14: Givet skriftlig påtale</w:t>
              <w:br/>
              <w:t>15: Ligningsrådet</w:t>
              <w:br/>
              <w:t>16: Landsskatteretten</w:t>
              <w:br/>
              <w:t>17: Domstolsafgørelser</w:t>
              <w:br/>
              <w:t>92: Selskabslignende ansættelse (Kommune, Kommunefællesskab, Told- og skatteregion eller Told- og Skattestyrelsen).</w:t>
              <w:br/>
              <w:t>93: Tilsynssager (Ændringer i den skattepligtige indkomst i tilsynssager. Koden kan kun benyttes af tilsyns-Told- og skatteregion).</w:t>
              <w:br/>
              <w:t>94: Call-in sager (Ændringer i den skattepligtige indkomst i Call-in sager.Koden kan kun benyttes af tilsyns-Told- og skatteregion eller Told- og Skattestyrelsen).</w:t>
              <w:br/>
              <w:t>95: Fællessager (Ændringer i den skattepligtige indkomst er foretaget ved samarbejde mellem kommune, kommunefællesskaber, Told- og skatteregion eller Told- og Skattestyrelsen).</w:t>
              <w:br/>
              <w:t>99: Skatteankenævnet.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</w:r>
            <w:bookmarkStart w:name="LigningSagI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ID til unik identifikation af en sag i SKAT-Ligning.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LigningSagTypeKode</w:t>
            </w:r>
            <w:bookmarkStart w:name="LigningSa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Entydig kode som identificerer typen for en SKAT-Ligning sag.</w:t>
              <w:br/>
              <w:t/>
              <w:br/>
              <w:t>Værdisæt:</w:t>
              <w:br/>
              <w:t>BSKPGF: Ændring af beskatningsparagraf</w:t>
              <w:br/>
              <w:t>EFTSKT: Eftergivelse af skattetillæg</w:t>
              <w:br/>
              <w:t>MANUEL: Sag til manuel behandling</w:t>
              <w:br/>
              <w:t>MTSKPL: Ændre midlertidig skattepligt</w:t>
              <w:br/>
              <w:t>OMLREG: Omlægning af regnskabsperiode</w:t>
              <w:br/>
              <w:t>REGVAL: Ændring af regnskabsvaluta</w:t>
              <w:br/>
              <w:t>SELGEN: Genoptagelse af selvangivelse</w:t>
              <w:br/>
              <w:t>SELUDS: Udsættelse af selvangivelse</w:t>
              <w:br/>
              <w:t>SKØNAN: Skønsmæssig ansættelse af selvangivelse</w:t>
              <w:br/>
              <w:t>SKFOMS: Skattefri omstrukturering</w:t>
              <w:br/>
              <w:t>FORSKUDV: Ansøgning om skattekredit</w:t>
              <w:br/>
              <w:t>PENSEJD: Manuel skat visse pensionsinstitutter</w:t>
              <w:br/>
              <w:t>TONBASDAG: Ændring af basisdag Tonnage</w:t>
              <w:br/>
              <w:t>DISGODAFV: Godkend/afvist sag om godkendelse til udbetaling af skattefri nettohyre</w:t>
              <w:br/>
              <w:t>VANDSEK: Grundregistreringssag vedrørende Vandsektorloven</w:t>
              <w:br/>
              <w:t>ANMOPHØR: Anmodning om ophør</w:t>
              <w:br/>
              <w:t>GENOPTAG: Sag om genoptagelse</w:t>
              <w:br/>
              <w:t>LIKMKVIT = Likvidation med skattekvittance</w:t>
              <w:br/>
              <w:t>LIKUKVIT = Likvidation uden skattekvittance</w:t>
              <w:br/>
              <w:t>SEL5B19  = Selskabslovens § 5 B og § 19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LigningTemaKode</w:t>
            </w:r>
            <w:bookmarkStart w:name="LigningTem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hvilket ligningstema det relevante ligningsbeløb er lignet under.</w:t>
              <w:br/>
              <w:t>(Ligningstemaer kan f.eks. inddelt i moms, lønsum og selskabsskat).</w:t>
              <w:br/>
              <w:t>Felt 058a, 1058a og 2058a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OCRKontoNummer</w:t>
            </w:r>
            <w:bookmarkStart w:name="OCRKonto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OCR kontonummer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OCRKortType</w:t>
            </w:r>
            <w:bookmarkStart w:name="OCRKortTyp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  <w:br/>
              <w:t>pattern: [0-9][0-9]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korttypen i en OCR-linie, f.eks. 71</w:t>
              <w:br/>
              <w:t/>
              <w:br/>
              <w:t>Værdisæt:</w:t>
              <w:br/>
              <w:t>00 - 99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OCRNummer</w:t>
            </w:r>
            <w:bookmarkStart w:name="OC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16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OCR-nummer generelt for alle angivelsestyper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OmstruktureringGennemførselStartDato</w:t>
            </w:r>
            <w:bookmarkStart w:name="OmstruktureringGennemførsel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hvor omstruktureringen er gældende fra.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OpkrævningTypeKode</w:t>
            </w:r>
            <w:bookmarkStart w:name="Opkrævnin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opkrævningstype: ORDINÆR: Ordinær, 0RATE: frivillig 0 rate, UDENRATE: frivillig uden rate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PosteringForfaldDato</w:t>
            </w:r>
            <w:bookmarkStart w:name="PosteringForfald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for forfald af tilsvar/krav.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RegnskabPeriodeOmlægningOvergangIndkomstÅr</w:t>
            </w:r>
            <w:bookmarkStart w:name="RegnskabPeriodeOmlægningOverga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indkomstår som er aktuelt i overgangsperioden under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RegnskabPeriodeOmlægningOvergangSlutDato</w:t>
            </w:r>
            <w:bookmarkStart w:name="RegnskabPeriodeOmlægningOverga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RegnskabPeriodeOmlægningOvergangStartDato</w:t>
            </w:r>
            <w:bookmarkStart w:name="RegnskabPeriodeOmlægningOverga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RessourceNummer</w:t>
            </w:r>
            <w:bookmarkStart w:name="Ressourc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Nummeret på ressourcen, der unikt identificerer ressourcen.</w:t>
              <w:br/>
              <w:t>Det er fx medarbejdernummer (medarbejder ID = w-nummer) 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RestUnderskudFordelingModtagerAndelProcent</w:t>
            </w:r>
            <w:bookmarkStart w:name="RestUnderskudFordelingModtagerAndelProcen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6</w:t>
              <w:br/>
              <w:t>maxInclusive: 100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0-100 med 6 decimaler (Anvendes til angivelse af procent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SambeskattetForskningSkatteværdiUnderskudAnsøgt</w:t>
            </w:r>
            <w:bookmarkStart w:name="Sam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609J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SelskabSagAfgørelseGodkendt</w:t>
            </w:r>
            <w:bookmarkStart w:name="SelskabSagAfgørelseGodken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Viser afgørelsen for den aktuelle sag:</w:t>
              <w:br/>
              <w:t>true = godkendt</w:t>
              <w:br/>
              <w:t>false = afvist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SelskabSambeskatningÆndringFjernSelskabBegrundelseKode</w:t>
            </w:r>
            <w:bookmarkStart w:name="SelskabSambeskatningÆndringFjernSelskabBegrundels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årsagen til at selskab(er) fjernes fra sambeskatningskredsen.</w:t>
              <w:br/>
              <w:t/>
              <w:br/>
              <w:t>MISTINF: Mistet bestemmende indflydelse i selskabet.</w:t>
              <w:br/>
              <w:t>OPHØR: Konkurs, likvidation eller opløsning.</w:t>
              <w:br/>
              <w:t>OMSTRUK: Skattefri omstrukturering.</w:t>
              <w:br/>
              <w:t>FUSOPH: Skattepligtig fusion eller ophørsspaltning.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SelskabSambeskatningÆndringStartDato</w:t>
            </w:r>
            <w:bookmarkStart w:name="SelskabSambeskatningÆndri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hvor den ændrede sambeskatning træder i kraft.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SelskabSelvangivelseAnmodningDato</w:t>
            </w:r>
            <w:bookmarkStart w:name="SelskabSelvangivelseAnmod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for hvornår oplysningsskemaet er angivet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SelskabSelvangivelseFristOverskridelseDage</w:t>
            </w:r>
            <w:bookmarkStart w:name="SelskabSelvangivelseFristOverskridelseDag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Antal dage som fristen for selvangivelse er overskredet med.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SelskabSelvangivelseIndberettetDato</w:t>
            </w:r>
            <w:bookmarkStart w:name="SelskabSelvangivelseIndberette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 hvor selvangivelsen er indberettet.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SelskabSelvangivelseSkatteTillæg</w:t>
            </w:r>
            <w:bookmarkStart w:name="SelskabSelvangivelseSkatteTillæ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Størrelsen af skattetillægget.</w:t>
              <w:br/>
              <w:t>Felt 030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SelskabSkattepligtigIndkomstEfterAnvendtUnderskud</w:t>
            </w:r>
            <w:bookmarkStart w:name="SelskabSkattepligtigIndkomstEfterAnvendtUndersku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 indkomst efter anvendt underskud.</w:t>
              <w:br/>
              <w:t>Felt 016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SelskabSkattepligtigIndkomstFørUnderskud</w:t>
            </w:r>
            <w:bookmarkStart w:name="SelskabSkattepligtigIndkomstFørUndersku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Skattepligtig indkomst før fradrag af underskud fra tidligere indkomstår.</w:t>
              <w:br/>
              <w:t>Felt 076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SelskabSkattepligtTilmeldt</w:t>
            </w:r>
            <w:bookmarkStart w:name="SelskabSkattepligtTilmel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om selskabet er tilmeldt som selskabsskattepligtigt.</w:t>
              <w:br/>
              <w:t>(Ved bestilling sættes feltet til den ØNSKEDE tilstand)</w:t>
              <w:br/>
              <w:t>(true = ja, false = nej)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SelskabsskatBeregnetBeløb</w:t>
            </w:r>
            <w:bookmarkStart w:name="SelskabsskatBeregne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 beregnede skat (dvs. ikke manuel skat) efter henstand og lempelser.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SelskabsskatRateBeregningGrundlag</w:t>
            </w:r>
            <w:bookmarkStart w:name="SelskabsskatRateBeregningGrundlag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Netto beregningsgrundlag for selskabets acontoskatterater (selskabsskat - udbyttekskat)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SelskabsskatSumUdbytteskatBeløb</w:t>
            </w:r>
            <w:bookmarkStart w:name="SelskabsskatSumUdbytteskatBeløb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999999999999999</w:t>
              <w:br/>
              <w:t>minInclusive: -999999999999999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Sum af beregnet indeholdt udbytteskat i indkomståret.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SelvangivelseDelperiodeSlut</w:t>
            </w:r>
            <w:bookmarkStart w:name="SelvangivelseDel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selvangivelsens delperiode (inklusiv).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SelvangivelseDelperiodeStart</w:t>
            </w:r>
            <w:bookmarkStart w:name="SelvangivelseDelperiodeStar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Første dag i selvangivelsens delperiode.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SelvangivelseGenoptagelseStatusKode</w:t>
            </w:r>
            <w:bookmarkStart w:name="SelvangivelseGenoptagelseStatus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1: Genoptagelse afvist</w:t>
              <w:br/>
              <w:t>2: Teknisk afvisning</w:t>
              <w:br/>
              <w:t>3: Efterfølgende ændringer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SelvangivelseOphørDato</w:t>
            </w:r>
            <w:bookmarkStart w:name="SelvangivelseOphør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Ophørsdato for et selskabs skattepligt.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SelvangivelseOphørStatusKode</w:t>
            </w:r>
            <w:bookmarkStart w:name="SelvangivelseOphørStatus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 Godkendelse af ophørsdato (fuld godkendelse)</w:t>
              <w:br/>
              <w:t>2 Godkendt på betingelse af efterfølgende sagsbehandling</w:t>
              <w:br/>
              <w:t>3 Godkendelse med ændring af ophørsdato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SkattefriOmstruktureringTypeKode</w:t>
            </w:r>
            <w:bookmarkStart w:name="SkattefriOmstrukturerin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typen af skattefri omstrukturering:</w:t>
              <w:br/>
              <w:t/>
              <w:br/>
              <w:t>FUS: Skattefri fusion</w:t>
              <w:br/>
              <w:t>GREN: Skattefri grenspaltning</w:t>
              <w:br/>
              <w:t>OPSP: Skattefri ophørsspaltning</w:t>
              <w:br/>
              <w:t>TILA: Skattefri tilførsel af aktiver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SkattefriOmstruktureringVirkningDato</w:t>
            </w:r>
            <w:bookmarkStart w:name="SkattefriOmstruktureringVirk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hvor den skattefri omstrukturering træder i kraft (får retsvirkning).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SkatteRegnskabValutaCentralBankNavn</w:t>
            </w:r>
            <w:bookmarkStart w:name="SkatteRegnskabValutaCentralBank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Navn på centralbanken som anvendes til kurs-ansættelse af fremmed valuta i skatteregnskabet.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SkatteRegnskabValutaKode</w:t>
            </w:r>
            <w:bookmarkStart w:name="SkatteRegnskabValut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</w:t>
              <w:br/>
              <w:t>pattern: [A-Z]{3}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Valutakode for den valuta som skatteregnskabet er angivet i.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SkatteTillægEftergivelseAntalDage</w:t>
            </w:r>
            <w:bookmarkStart w:name="SkatteTillægEftergivelseAntalDag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  <w:br/>
              <w:t>maxExclusive: 999</w:t>
              <w:br/>
              <w:t>minExclusive: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Antal dage som skattetillægget eftergives.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SærbeskattetForskningSkatteværdiUnderskudAnsøgt</w:t>
            </w:r>
            <w:bookmarkStart w:name="SærbeskattetForskningSkatteværdiUnderskudAnsøg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2</w:t>
              <w:br/>
              <w:t>maxInclusive: 9999999999999</w:t>
              <w:br/>
              <w:t>minInclusive: -9999999999999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Skatteværdien af underskuddet der søges om udbetaling af under skattekreditordningen.</w:t>
              <w:br/>
              <w:t>Felt 609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TonnageBindingPeriodeAntalÅr</w:t>
            </w:r>
            <w:bookmarkStart w:name="TonnageBindingPeriodeAntal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  <w:br/>
              <w:t>maxExclusive: 999</w:t>
              <w:br/>
              <w:t>minExclusive: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Parameter som angiver bindingsperioden i antal år (for tonnageordningen).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TonnageBindingPeriodeSlutDato</w:t>
            </w:r>
            <w:bookmarkStart w:name="TonnageBinding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den igangværende bindingsperiode for aktivitet, der kan omfattes af tonnageskatteordningen</w:t>
              <w:br/>
              <w:t>Felt 304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TonnageFravalgBindingPeriodeAntalÅr</w:t>
            </w:r>
            <w:bookmarkStart w:name="TonnageFravalgBindingPeriodeAntal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3</w:t>
              <w:br/>
              <w:t>maxExclusive: 999</w:t>
              <w:br/>
              <w:t>minExclusive: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Parameter som angiver bindingsperioden i antal år (for fravalgsbevilling til tonnageordningen).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TonnageFravalgBindingPeriodeSlutDato</w:t>
            </w:r>
            <w:bookmarkStart w:name="TonnageFravalgBinding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dato i den aktuelle fravalgsperiode (fravalg af tonnageskatteordningen ifm. fravalgsbevilling).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TonnageskatTilmeldingSlutDato</w:t>
            </w:r>
            <w:bookmarkStart w:name="TonnageskatTilmeldi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dato hvor selskabet er tilmeldt tonnageskatteordningen.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UnderskudTotalAnvendt</w:t>
            </w:r>
            <w:bookmarkStart w:name="UnderskudTotalAnven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totalDigits: 13</w:t>
              <w:br/>
              <w:t>fractionDigits: 2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Skattemæssigt underskud, fremført fra tidligere indkomstår anvendt i året. Felt 003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VirksomhedCVRNummer</w:t>
            </w:r>
            <w:bookmarkStart w:name="VirksomhedCVR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nummer der tildeles juridiske enheder i et Centralt Virksomheds Register (CVR).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VirksomhedNavnFirmaNavn</w:t>
            </w:r>
            <w:bookmarkStart w:name="VirksomhedNavnFirma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300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virksomhedens fulde navn.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VirksomhedRegnskabPeriodeIndkomstÅr</w:t>
            </w:r>
            <w:bookmarkStart w:name="VirksomhedRegnskabPeriod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Indkomståret som regnskabsperioden gælder for.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VirksomhedRegnskabPeriodeSlutDato</w:t>
            </w:r>
            <w:bookmarkStart w:name="VirksomhedRegnskab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VirksomhedRegnskabPeriodeStartDato</w:t>
            </w:r>
            <w:bookmarkStart w:name="VirksomhedRegnskabPeriode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07-09-2022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/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