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12-05-2022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FunktonsadskillelseMarkering</w:t>
              <w:br/>
              <w:t>*FunktionsadskillelseGodkenderListe*</w:t>
              <w:br/>
              <w:t>0{</w:t>
              <w:br/>
              <w:t/>
              <w:tab/>
              <w:t>*FunktionsadskillelseGodkender*</w:t>
              <w:br/>
              <w:t/>
              <w:tab/>
              <w:t>[</w:t>
              <w:br/>
              <w:t/>
              <w:tab/>
              <w:t/>
              <w:tab/>
              <w:t>(FunktionsadskillelseGodkenderNiveauKode)</w:t>
              <w:br/>
              <w:t/>
              <w:tab/>
              <w:t/>
              <w:tab/>
              <w:t>(FunktionsadskillelseGodkenderNiveauTekst)</w:t>
              <w:br/>
              <w:t/>
              <w:tab/>
              <w:t/>
              <w:tab/>
              <w:t>(FunktionsadskillelseGodkenderMedarbejdernummer)</w:t>
              <w:br/>
              <w:t/>
              <w:tab/>
              <w:t>]</w:t>
              <w:br/>
              <w:t>}3</w:t>
              <w:br/>
              <w:t>(LigningSagID)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w:t>
              <w:br/>
              <w:t/>
              <w:br/>
              <w:t>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FunktionsadskillelseGodkenderMedarbejdernummer</w:t>
            </w:r>
            <w:bookmarkStart w:name="FunktionsadskillelseGodkender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(Gentagende felt der kan forekomme 0 eller flere gange. En for hver godkender).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FunktionsadskillelseGodkenderNiveauTekst</w:t>
            </w:r>
            <w:bookmarkStart w:name="FunktionsadskillelseGodkenderNiveau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Angver funktionsadskillelse godkenderniveau.</w:t>
              <w:br/>
              <w:t>Felt 015c</w:t>
              <w:br/>
              <w:t>Felt 015b</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FunktonsadskillelseMarkering</w:t>
            </w:r>
            <w:bookmarkStart w:name="Funkt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LigningSagID</w:t>
            </w:r>
            <w:bookmarkStart w:name="LigningSa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ID til unik identifikation af en sag i SKAT-Ligning.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SelskabSelvangvelseRegnskaboplysningerFritagetTekst</w:t>
            </w:r>
            <w:bookmarkStart w:name="SelskabSelvang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12-05-2022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