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B34CB" w:rsidTr="00DB34CB">
        <w:tblPrEx>
          <w:tblCellMar>
            <w:top w:w="0" w:type="dxa"/>
            <w:bottom w:w="0" w:type="dxa"/>
          </w:tblCellMar>
        </w:tblPrEx>
        <w:trPr>
          <w:trHeight w:hRule="exact" w:val="113"/>
        </w:trPr>
        <w:tc>
          <w:tcPr>
            <w:tcW w:w="10345" w:type="dxa"/>
            <w:gridSpan w:val="6"/>
            <w:shd w:val="clear" w:color="auto" w:fill="B3B3B3"/>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34CB" w:rsidTr="00DB34CB">
        <w:tblPrEx>
          <w:tblCellMar>
            <w:top w:w="0" w:type="dxa"/>
            <w:bottom w:w="0" w:type="dxa"/>
          </w:tblCellMar>
        </w:tblPrEx>
        <w:trPr>
          <w:trHeight w:val="283"/>
        </w:trPr>
        <w:tc>
          <w:tcPr>
            <w:tcW w:w="10345" w:type="dxa"/>
            <w:gridSpan w:val="6"/>
            <w:tcBorders>
              <w:bottom w:val="single" w:sz="6" w:space="0" w:color="auto"/>
            </w:tcBorders>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B34CB">
              <w:rPr>
                <w:rFonts w:ascii="Arial" w:hAnsi="Arial" w:cs="Arial"/>
                <w:b/>
                <w:sz w:val="30"/>
              </w:rPr>
              <w:t>HentSelvSendData</w:t>
            </w:r>
          </w:p>
        </w:tc>
      </w:tr>
      <w:tr w:rsidR="00DB34CB" w:rsidTr="00DB34C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B34CB" w:rsidTr="00DB34CB">
        <w:tblPrEx>
          <w:tblCellMar>
            <w:top w:w="0" w:type="dxa"/>
            <w:bottom w:w="0" w:type="dxa"/>
          </w:tblCellMar>
        </w:tblPrEx>
        <w:trPr>
          <w:trHeight w:val="283"/>
        </w:trPr>
        <w:tc>
          <w:tcPr>
            <w:tcW w:w="1134" w:type="dxa"/>
            <w:tcBorders>
              <w:top w:val="nil"/>
            </w:tcBorders>
            <w:shd w:val="clear" w:color="auto" w:fill="auto"/>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HentSelv</w:t>
            </w:r>
          </w:p>
        </w:tc>
        <w:tc>
          <w:tcPr>
            <w:tcW w:w="2835" w:type="dxa"/>
            <w:tcBorders>
              <w:top w:val="nil"/>
            </w:tcBorders>
            <w:shd w:val="clear" w:color="auto" w:fill="auto"/>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1-3-2011</w:t>
            </w:r>
          </w:p>
        </w:tc>
        <w:tc>
          <w:tcPr>
            <w:tcW w:w="1701" w:type="dxa"/>
            <w:tcBorders>
              <w:top w:val="nil"/>
            </w:tcBorders>
            <w:shd w:val="clear" w:color="auto" w:fill="auto"/>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B34CB" w:rsidTr="00DB34CB">
        <w:tblPrEx>
          <w:tblCellMar>
            <w:top w:w="0" w:type="dxa"/>
            <w:bottom w:w="0" w:type="dxa"/>
          </w:tblCellMar>
        </w:tblPrEx>
        <w:trPr>
          <w:trHeight w:val="283"/>
        </w:trPr>
        <w:tc>
          <w:tcPr>
            <w:tcW w:w="10345" w:type="dxa"/>
            <w:gridSpan w:val="6"/>
            <w:shd w:val="clear" w:color="auto" w:fill="B3B3B3"/>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B34CB" w:rsidTr="00DB34CB">
        <w:tblPrEx>
          <w:tblCellMar>
            <w:top w:w="0" w:type="dxa"/>
            <w:bottom w:w="0" w:type="dxa"/>
          </w:tblCellMar>
        </w:tblPrEx>
        <w:trPr>
          <w:trHeight w:val="283"/>
        </w:trPr>
        <w:tc>
          <w:tcPr>
            <w:tcW w:w="10345" w:type="dxa"/>
            <w:gridSpan w:val="6"/>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Skatteministeriet.</w:t>
            </w:r>
          </w:p>
        </w:tc>
      </w:tr>
      <w:tr w:rsidR="00DB34CB" w:rsidTr="00DB34CB">
        <w:tblPrEx>
          <w:tblCellMar>
            <w:top w:w="0" w:type="dxa"/>
            <w:bottom w:w="0" w:type="dxa"/>
          </w:tblCellMar>
        </w:tblPrEx>
        <w:trPr>
          <w:trHeight w:val="283"/>
        </w:trPr>
        <w:tc>
          <w:tcPr>
            <w:tcW w:w="10345" w:type="dxa"/>
            <w:gridSpan w:val="6"/>
            <w:shd w:val="clear" w:color="auto" w:fill="B3B3B3"/>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B34CB" w:rsidTr="00DB34CB">
        <w:tblPrEx>
          <w:tblCellMar>
            <w:top w:w="0" w:type="dxa"/>
            <w:bottom w:w="0" w:type="dxa"/>
          </w:tblCellMar>
        </w:tblPrEx>
        <w:trPr>
          <w:trHeight w:val="283"/>
        </w:trPr>
        <w:tc>
          <w:tcPr>
            <w:tcW w:w="10345" w:type="dxa"/>
            <w:gridSpan w:val="6"/>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to forskellige web services: Indkomstoplysninger fra IndkomstOplysningPersonHent og skatteoplysninger fra ÅrligSkatteOplysningHent.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3 måneder. I relation til skatteoplysninger hentes udvalgte data fra den seneste årsopgørelse samt en kopi af årsopgørelsen i PDF format.</w:t>
            </w:r>
          </w:p>
        </w:tc>
      </w:tr>
      <w:tr w:rsidR="00DB34CB" w:rsidTr="00DB34CB">
        <w:tblPrEx>
          <w:tblCellMar>
            <w:top w:w="0" w:type="dxa"/>
            <w:bottom w:w="0" w:type="dxa"/>
          </w:tblCellMar>
        </w:tblPrEx>
        <w:trPr>
          <w:trHeight w:val="283"/>
        </w:trPr>
        <w:tc>
          <w:tcPr>
            <w:tcW w:w="10345" w:type="dxa"/>
            <w:gridSpan w:val="6"/>
            <w:shd w:val="clear" w:color="auto" w:fill="B3B3B3"/>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B34CB" w:rsidTr="00DB34CB">
        <w:tblPrEx>
          <w:tblCellMar>
            <w:top w:w="0" w:type="dxa"/>
            <w:bottom w:w="0" w:type="dxa"/>
          </w:tblCellMar>
        </w:tblPrEx>
        <w:trPr>
          <w:trHeight w:val="283"/>
        </w:trPr>
        <w:tc>
          <w:tcPr>
            <w:tcW w:w="10345" w:type="dxa"/>
            <w:gridSpan w:val="6"/>
            <w:shd w:val="clear" w:color="auto" w:fill="FFFFFF"/>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B34CB" w:rsidTr="00DB34CB">
        <w:tblPrEx>
          <w:tblCellMar>
            <w:top w:w="0" w:type="dxa"/>
            <w:bottom w:w="0" w:type="dxa"/>
          </w:tblCellMar>
        </w:tblPrEx>
        <w:trPr>
          <w:trHeight w:val="283"/>
        </w:trPr>
        <w:tc>
          <w:tcPr>
            <w:tcW w:w="10345" w:type="dxa"/>
            <w:gridSpan w:val="6"/>
            <w:shd w:val="clear" w:color="auto" w:fill="FFFFFF"/>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DB34CB" w:rsidTr="00DB34CB">
        <w:tblPrEx>
          <w:tblCellMar>
            <w:top w:w="0" w:type="dxa"/>
            <w:bottom w:w="0" w:type="dxa"/>
          </w:tblCellMar>
        </w:tblPrEx>
        <w:trPr>
          <w:trHeight w:val="283"/>
        </w:trPr>
        <w:tc>
          <w:tcPr>
            <w:tcW w:w="10345" w:type="dxa"/>
            <w:gridSpan w:val="6"/>
            <w:shd w:val="clear" w:color="auto" w:fill="FFFFFF"/>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DB34CB" w:rsidTr="00DB34CB">
        <w:tblPrEx>
          <w:tblCellMar>
            <w:top w:w="0" w:type="dxa"/>
            <w:bottom w:w="0" w:type="dxa"/>
          </w:tblCellMar>
        </w:tblPrEx>
        <w:trPr>
          <w:trHeight w:val="283"/>
        </w:trPr>
        <w:tc>
          <w:tcPr>
            <w:tcW w:w="10345" w:type="dxa"/>
            <w:gridSpan w:val="6"/>
            <w:shd w:val="clear" w:color="auto" w:fill="FFFFFF"/>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B34CB" w:rsidTr="00DB34CB">
        <w:tblPrEx>
          <w:tblCellMar>
            <w:top w:w="0" w:type="dxa"/>
            <w:bottom w:w="0" w:type="dxa"/>
          </w:tblCellMar>
        </w:tblPrEx>
        <w:trPr>
          <w:trHeight w:val="283"/>
        </w:trPr>
        <w:tc>
          <w:tcPr>
            <w:tcW w:w="10345" w:type="dxa"/>
            <w:gridSpan w:val="6"/>
            <w:shd w:val="clear" w:color="auto" w:fill="FFFFFF"/>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DB34CB" w:rsidTr="00DB34CB">
        <w:tblPrEx>
          <w:tblCellMar>
            <w:top w:w="0" w:type="dxa"/>
            <w:bottom w:w="0" w:type="dxa"/>
          </w:tblCellMar>
        </w:tblPrEx>
        <w:trPr>
          <w:trHeight w:val="283"/>
        </w:trPr>
        <w:tc>
          <w:tcPr>
            <w:tcW w:w="10345" w:type="dxa"/>
            <w:gridSpan w:val="6"/>
            <w:shd w:val="clear" w:color="auto" w:fill="FFFFFF"/>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IndberetningOplysningListe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r>
              <w:rPr>
                <w:rFonts w:ascii="Arial" w:hAnsi="Arial" w:cs="Arial"/>
                <w:sz w:val="18"/>
              </w:rPr>
              <w:tab/>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r>
              <w:rPr>
                <w:rFonts w:ascii="Arial" w:hAnsi="Arial" w:cs="Arial"/>
                <w:sz w:val="18"/>
              </w:rPr>
              <w:tab/>
            </w:r>
            <w:r>
              <w:rPr>
                <w:rFonts w:ascii="Arial" w:hAnsi="Arial" w:cs="Arial"/>
                <w:sz w:val="18"/>
              </w:rPr>
              <w:tab/>
            </w:r>
            <w:r>
              <w:rPr>
                <w:rFonts w:ascii="Arial" w:hAnsi="Arial" w:cs="Arial"/>
                <w:sz w:val="18"/>
              </w:rPr>
              <w:tab/>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34CB" w:rsidTr="00DB34CB">
        <w:tblPrEx>
          <w:tblCellMar>
            <w:top w:w="0" w:type="dxa"/>
            <w:bottom w:w="0" w:type="dxa"/>
          </w:tblCellMar>
        </w:tblPrEx>
        <w:trPr>
          <w:trHeight w:val="283"/>
        </w:trPr>
        <w:tc>
          <w:tcPr>
            <w:tcW w:w="10345" w:type="dxa"/>
            <w:gridSpan w:val="6"/>
            <w:shd w:val="clear" w:color="auto" w:fill="FFFFFF"/>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DB34CB" w:rsidTr="00DB34CB">
        <w:tblPrEx>
          <w:tblCellMar>
            <w:top w:w="0" w:type="dxa"/>
            <w:bottom w:w="0" w:type="dxa"/>
          </w:tblCellMar>
        </w:tblPrEx>
        <w:trPr>
          <w:trHeight w:val="283"/>
        </w:trPr>
        <w:tc>
          <w:tcPr>
            <w:tcW w:w="10345" w:type="dxa"/>
            <w:gridSpan w:val="6"/>
            <w:shd w:val="clear" w:color="auto" w:fill="FFFFFF"/>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HentSelvSendData_F</w:t>
            </w:r>
          </w:p>
        </w:tc>
      </w:tr>
      <w:tr w:rsidR="00DB34CB" w:rsidTr="00DB34CB">
        <w:tblPrEx>
          <w:tblCellMar>
            <w:top w:w="0" w:type="dxa"/>
            <w:bottom w:w="0" w:type="dxa"/>
          </w:tblCellMar>
        </w:tblPrEx>
        <w:trPr>
          <w:trHeight w:val="283"/>
        </w:trPr>
        <w:tc>
          <w:tcPr>
            <w:tcW w:w="10345" w:type="dxa"/>
            <w:gridSpan w:val="6"/>
            <w:shd w:val="clear" w:color="auto" w:fill="FFFFFF"/>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DB34CB" w:rsidTr="00DB34CB">
        <w:tblPrEx>
          <w:tblCellMar>
            <w:top w:w="0" w:type="dxa"/>
            <w:bottom w:w="0" w:type="dxa"/>
          </w:tblCellMar>
        </w:tblPrEx>
        <w:trPr>
          <w:trHeight w:val="283"/>
        </w:trPr>
        <w:tc>
          <w:tcPr>
            <w:tcW w:w="10345" w:type="dxa"/>
            <w:gridSpan w:val="6"/>
            <w:shd w:val="clear" w:color="auto" w:fill="B3B3B3"/>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B34CB" w:rsidTr="00DB34CB">
        <w:tblPrEx>
          <w:tblCellMar>
            <w:top w:w="0" w:type="dxa"/>
            <w:bottom w:w="0" w:type="dxa"/>
          </w:tblCellMar>
        </w:tblPrEx>
        <w:trPr>
          <w:trHeight w:val="283"/>
        </w:trPr>
        <w:tc>
          <w:tcPr>
            <w:tcW w:w="10345" w:type="dxa"/>
            <w:gridSpan w:val="6"/>
            <w:shd w:val="clear" w:color="auto" w:fill="FFFFFF"/>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DB34CB" w:rsidTr="00DB34CB">
        <w:tblPrEx>
          <w:tblCellMar>
            <w:top w:w="0" w:type="dxa"/>
            <w:bottom w:w="0" w:type="dxa"/>
          </w:tblCellMar>
        </w:tblPrEx>
        <w:trPr>
          <w:trHeight w:val="283"/>
        </w:trPr>
        <w:tc>
          <w:tcPr>
            <w:tcW w:w="10345" w:type="dxa"/>
            <w:gridSpan w:val="6"/>
            <w:shd w:val="clear" w:color="auto" w:fill="FFFFFF"/>
            <w:vAlign w:val="center"/>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PersonCPRNummer eksisterer ikke.</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SamtykkeÅrsagKode eksisterer ikke.</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VidereanvendelseAftaleNummer eksisterer ikke.</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VirksomhedCVRNummer eksisterer ikke.</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Aftale eksisterer ikke</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Aftale ikke gyldig</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eksisterer ikke</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er ikke gyldigt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er ugyldiggjort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Certifikat er ikke genkendt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Certifikat er ikke gyldigt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Data er allerede hentet</w:t>
            </w:r>
          </w:p>
        </w:tc>
      </w:tr>
    </w:tbl>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B34CB" w:rsidSect="00DB34CB">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B34CB" w:rsidTr="00DB34CB">
        <w:tblPrEx>
          <w:tblCellMar>
            <w:top w:w="0" w:type="dxa"/>
            <w:bottom w:w="0" w:type="dxa"/>
          </w:tblCellMar>
        </w:tblPrEx>
        <w:trPr>
          <w:trHeight w:hRule="exact" w:val="113"/>
        </w:trPr>
        <w:tc>
          <w:tcPr>
            <w:tcW w:w="10345" w:type="dxa"/>
            <w:shd w:val="clear" w:color="auto" w:fill="B3B3B3"/>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34CB" w:rsidTr="00DB34CB">
        <w:tblPrEx>
          <w:tblCellMar>
            <w:top w:w="0" w:type="dxa"/>
            <w:bottom w:w="0" w:type="dxa"/>
          </w:tblCellMar>
        </w:tblPrEx>
        <w:tc>
          <w:tcPr>
            <w:tcW w:w="10345" w:type="dxa"/>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ÅrligSkatteOplysningStruktur</w:t>
            </w:r>
          </w:p>
        </w:tc>
      </w:tr>
      <w:tr w:rsidR="00DB34CB" w:rsidTr="00DB34CB">
        <w:tblPrEx>
          <w:tblCellMar>
            <w:top w:w="0" w:type="dxa"/>
            <w:bottom w:w="0" w:type="dxa"/>
          </w:tblCellMar>
        </w:tblPrEx>
        <w:tc>
          <w:tcPr>
            <w:tcW w:w="10345" w:type="dxa"/>
            <w:vAlign w:val="center"/>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(ÅrligSkatteOplysningIndenlandskFormue)</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(ÅrligSkatteOplysningIndenlandskIndeståendePengeinstitut)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(ÅrligSkatteOplysningIndenlandskEjendomsværdi)</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(ÅrligSkatteOplysningIndenlandskGæld)</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(ÅrligSkatteOplysningIndenlandskAktieBevisKursværdi)</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(ÅrligSkatteOplysningBeregnetSkat)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r>
              <w:rPr>
                <w:rFonts w:ascii="Arial" w:hAnsi="Arial" w:cs="Arial"/>
                <w:sz w:val="18"/>
              </w:rPr>
              <w:tab/>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(ÅrligSkatteOplysningUdenlandskAktieIndkomst)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(ÅrligSkatteOplysningOverskydendeSkat)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B34CB" w:rsidSect="00DB34CB">
          <w:headerReference w:type="default" r:id="rId14"/>
          <w:footerReference w:type="default" r:id="rId15"/>
          <w:pgSz w:w="11906" w:h="16838"/>
          <w:pgMar w:top="567" w:right="567" w:bottom="567" w:left="1134" w:header="283" w:footer="708" w:gutter="0"/>
          <w:cols w:space="708"/>
          <w:docGrid w:linePitch="360"/>
        </w:sectPr>
      </w:pP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B34CB" w:rsidTr="00DB34CB">
        <w:tblPrEx>
          <w:tblCellMar>
            <w:top w:w="0" w:type="dxa"/>
            <w:bottom w:w="0" w:type="dxa"/>
          </w:tblCellMar>
        </w:tblPrEx>
        <w:trPr>
          <w:tblHeader/>
        </w:trPr>
        <w:tc>
          <w:tcPr>
            <w:tcW w:w="3402" w:type="dxa"/>
            <w:shd w:val="clear" w:color="auto" w:fill="B3B3B3"/>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Eksempelvis udtrykker to indberetninger af indkomstoplysninger med lønperioden 2007.12.14 - 2008.02.15 og 2008.01.14 - 2008.02.15 (AngivelsePeriodeFra og AngivelsePeriodeTil) en specifikation af indeholdt A-skat og AM-bidrag for februar måned 2008 (AngivelseGyldigFra og AngivelseGyldigTil). </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base: integer</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pattern: ([0-9])*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maxInclusive: 999999999999999999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minInclusive: 0</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virksomheds eget ID på en indberetning.</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IndkomstOplysningPersonAIndkomstIkkeTilAMBidragBeløb</w:t>
            </w:r>
          </w:p>
        </w:tc>
        <w:tc>
          <w:tcPr>
            <w:tcW w:w="170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base: decimal</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maxInclusive: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IndkomstOplysningPersonAIndkomstTilAMBidragBeløb</w:t>
            </w:r>
          </w:p>
        </w:tc>
        <w:tc>
          <w:tcPr>
            <w:tcW w:w="170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base: decimal</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maxInclusive: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IndkomstOplysningPersonATPBidragBeløb</w:t>
            </w:r>
          </w:p>
        </w:tc>
        <w:tc>
          <w:tcPr>
            <w:tcW w:w="170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base: decimal</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maxInclusive: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lastRenderedPageBreak/>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fractionDigits: 2</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Lønmodtagerbidrag og arbejdsgiverens andel - altså i alt til ATP</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IndkomstOplysningPersonATPSats</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base: decimal</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maxInclusive: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fractionDigits: 2</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base: decimal</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maxInclusive: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fractionDigits: 2</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IndkomstOplysningPersonBruttoIndkomstBeløb</w:t>
            </w:r>
          </w:p>
        </w:tc>
        <w:tc>
          <w:tcPr>
            <w:tcW w:w="170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base: decimal</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maxInclusive: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Udregnes således: A-indkomst både med og uden AM-bidrag + lønmodtagerens andel af arbejdsgiveradministreret pensionsordning og ATP. </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IndkomstOplysningPersonForBagudLøn</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lønudbetaling er forud eller bagud</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F=Forud</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IndkomstOplysningPersonIndberetningsart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base: decimal</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maxInclusive: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fractionDigits: 2</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base: decimal</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maxInclusive: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fractionDigits: 2</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base: decimal</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maxInclusive: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fractionDigits: 2</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IndkomstOplysningPersonIndkomstType</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(herunder dagpenge, G-dagesgodtgørelse, pension og anden overførselsindkomst - ikke sygedagpenge, hvor der skal anvendes kode 07).</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Sygedagpenge udbetalt af det offentlige, direkte til personen.</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 Personer der beskattes efter KSL §48E og F - udenlandske forskere og nøglemedarbejdere mv. Anvendes kode 08 skal rubrik kode 68 udfyldes med kode 48 for 25%'s beskatning eller kode 33 for 33%'s </w:t>
            </w:r>
            <w:r>
              <w:rPr>
                <w:rFonts w:ascii="Arial" w:hAnsi="Arial" w:cs="Arial"/>
                <w:sz w:val="18"/>
              </w:rPr>
              <w:lastRenderedPageBreak/>
              <w:t>beskatning, i én og samme indberetning (Det er altså nu muligt at lade sig beskatte med 33 % i 5 år, i stedet for 25% i 3 år)</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Som kode 04, men for ydelser, hvori der ikke kan ske lønindeholdelse. Denne kode skal bl.a. bruges til VEU-godtgørelse og forsikringsydelser, der er A-skattepligtige, men hvori der ikke må lønindeholdes, jf.inddrivelsesbekendtgørelsens §12. Indberetter skal have bevilling hos SKAT for at kunne indberette indkomst med denne beskæftigelseskode.</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IndkomstOplysningPersonKode68</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IndkomstOplysningPersonReferenceIdentifikation</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tale om en tilbageførsel, så er værdien af FeltNummer 100000000000000011 = T. Hvis der er tale om en frivillig henvisning til en tidligere indberetning, så er værdien af FeltNummer 100000000000000011 = I.</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IndkomstOplysningPersonRettelseTidligereIndberetning</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Rettelse til tidligere indberetning. 0 = Almindelig indberetning</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Rettelsesindberetning</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IndkomstOplysningPersonSkattefriRejseBefordringsgodtgørelse</w:t>
            </w:r>
          </w:p>
        </w:tc>
        <w:tc>
          <w:tcPr>
            <w:tcW w:w="170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base: decimal</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maxInclusive: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fractionDigits: 2</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rejse- og befordringsgodtgørelse</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IndkomstOplysningPersonTilbageførselMarkering</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base: decimal</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maxInclusive: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IndkomstOplysningPersonVærdiAfMultimediebeskatning</w:t>
            </w:r>
          </w:p>
        </w:tc>
        <w:tc>
          <w:tcPr>
            <w:tcW w:w="170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base: decimal</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maxInclusive: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fractionDigits: 2</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multimediebeskatning. Beløbet er også medregnet i Bruttoindkomsten.</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SamtykkeÅrsagKode</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af Skatteministeriet defineret kode, der refererer til den generiske årsag, der ligger bag  en borgers </w:t>
            </w:r>
            <w:r>
              <w:rPr>
                <w:rFonts w:ascii="Arial" w:hAnsi="Arial" w:cs="Arial"/>
                <w:sz w:val="18"/>
              </w:rPr>
              <w:lastRenderedPageBreak/>
              <w:t>afgivelse af samtykke til udveksling af oplysninger.</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SamtykkeÅrsagNøgle</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SlutOpgørelseFilStørrelse</w:t>
            </w:r>
          </w:p>
        </w:tc>
        <w:tc>
          <w:tcPr>
            <w:tcW w:w="170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base: integer</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pattern: ([0-9])*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maxInclusive: 999999999999999999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minInclusive: 0</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VidereanvendelseAftaleNummer</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ÅrligSkatteOplysningArbejdsløshedsforsikringBidrag</w:t>
            </w:r>
          </w:p>
        </w:tc>
        <w:tc>
          <w:tcPr>
            <w:tcW w:w="170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base: decimal</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maxInclusive: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fractionDigits: 2</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Lønmodtagere, arbejdsløse og efterlønmodtagere kan fratrække bidrag til A-kasse, fleksydelse og efterlønsordning.</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ÅrligSkatteOplysningArbejdsmarkedsBidrag</w:t>
            </w:r>
          </w:p>
        </w:tc>
        <w:tc>
          <w:tcPr>
            <w:tcW w:w="170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base: decimal</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maxInclusive: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beregnet arbejdsmarkedsbidrag.</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ÅrligSkatteOplysningBefordring</w:t>
            </w:r>
          </w:p>
        </w:tc>
        <w:tc>
          <w:tcPr>
            <w:tcW w:w="170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base: decimal</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maxInclusive: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34CB">
              <w:rPr>
                <w:rFonts w:ascii="Arial" w:hAnsi="Arial" w:cs="Arial"/>
                <w:sz w:val="18"/>
                <w:lang w:val="en-US"/>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ÅrligSkatteOplysningEjendomsværdiSkatAfdødÆgtefælle</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 for afdød ægtefælle.</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ÅrligSkatteOplysningEndeligtResultat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der udgør det endelige resultat af årsopgørelsen. Kan være enten positiv (overskydende skat) eller negativ (restskat)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 Dette beløb er ikke er medregnet i BruttoIndkomstBeløb og SkattepligtigIndkomst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ÅrligSkatteOplysningFradragIPersonligIndkomst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præmier og bidrag til visse pensionsordninger, tilbagebetalt kontanthjælp og introduktionsydelse, indskud på iværksætterkonto samt udgifter til erhvervsmæssig befordring.</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ÅrligSkatteOplysningIndenlandskAktieBevisKursværdi</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kursværdi af børsnoterede aktier, investeringsbeviser.</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ÅrligSkatteOplysningIndenlandskAktieIndkomst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danske aktieindkomst.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ÅrligSkatteOplysningIndenlandskEjendomsværdi</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gæld til realkredit, reallån, pengeinstitutter</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ÅrligSkatteOplysningIndenlandskFormue</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ejendomsværdi af danske ejendomme</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ÅrligSkatteOplysningIndenlandskIndeståendePengeinstitut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indestående i pengeinstitut, obligationer, pantebreve.</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ÅrligSkatteOplysningKapitalPensionBidrag</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ÅrligSkatteOplysningKommunalIndkomstSkat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Kommunal indkomstskat svarende til tidligere amts- og kommuneskat.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ÅrligSkatteOplysningKommuneKirkeSkat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ÅrligSkatteOplysningLønIndkomst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ÅrligSkatteOplysningMellemSkat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Indtægter ved udlejning af fast ejendom er som hovedregel skattepligtige. I visse tilfælde er indtægten dog skattefri, når den er under et vist beløb. </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ÅrligSkatteOplysningPensionDagpengeStipendie</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ÅrligSkatteOplysningPensionLøbendeUdbetaling</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bidrag, præmie til pension med løbende udbetaling. </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ÅrligSkatteOplysningRealkreditinstitutRenteudgift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Renteindtægter er kapitalindkomst og skal indgå i selvangivelsen og årsopgørelsen. Renter beskattes i det år, hvor de forfalder til betaling, uanset om renterne hæves eller ej. </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ÅrligSkatteOplysningResultatAfVirksomhed</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samlede resultat af virksomhed. Beløbet kan være positivt eller negativt.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ÅrligSkatteOplysningSamletAktieIndkomst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ÅrligSkatteOplysningSkatteTillæg</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skattetillægget.</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Sundhedsbidrag</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ÅrligSkatteOplysningSærligPensionsBidrag</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den samlede sum af beregnede særlige pensionsbidrag.</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ÅrligSkatteOplysningTopSkat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kursværdi af børsnoterede aktier, investeringsbeviser</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ÅrligSkatteOplysningUdenlandskAktieIndkomst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udlandet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ÅrligSkatteOplysningUdenlandskFormueværdiFastEjendom</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formueværdi af fast ejendom.</w:t>
            </w: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gæld til realkredit, reallån, pengeinstitut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ÅrligSkatteOplysningUdenlandskIndeståendePengeinstitut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indestående i pengeinstitut, obligationer, pantebreve</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ÅrligSkatteOplysningUdenlandskPersonligIndkomstGammelLempelse</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udenlandsk personlig indkomst, som i følge en dobbeltbeskatningsoverenskomst er omfattet af reglerne om gammel exemption.</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ÅrligSkatteOplysningUdenlandskPersonligIndkomstHalvLempelse</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CB" w:rsidTr="00DB34CB">
        <w:tblPrEx>
          <w:tblCellMar>
            <w:top w:w="0" w:type="dxa"/>
            <w:bottom w:w="0" w:type="dxa"/>
          </w:tblCellMar>
        </w:tblPrEx>
        <w:tc>
          <w:tcPr>
            <w:tcW w:w="3402"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ÅrligSkatteOplysningØvrigeLønmodtagerudgifter</w:t>
            </w:r>
          </w:p>
        </w:tc>
        <w:tc>
          <w:tcPr>
            <w:tcW w:w="1701" w:type="dxa"/>
          </w:tcPr>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tc>
      </w:tr>
    </w:tbl>
    <w:p w:rsidR="00DB34CB" w:rsidRPr="00DB34CB" w:rsidRDefault="00DB34CB" w:rsidP="00DB34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B34CB" w:rsidRPr="00DB34CB" w:rsidSect="00DB34CB">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4CB" w:rsidRDefault="00DB34CB" w:rsidP="00DB34CB">
      <w:r>
        <w:separator/>
      </w:r>
    </w:p>
  </w:endnote>
  <w:endnote w:type="continuationSeparator" w:id="0">
    <w:p w:rsidR="00DB34CB" w:rsidRDefault="00DB34CB" w:rsidP="00DB3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4CB" w:rsidRDefault="00DB34C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4CB" w:rsidRPr="00DB34CB" w:rsidRDefault="00DB34CB" w:rsidP="00DB34CB">
    <w:pPr>
      <w:pStyle w:val="Sidefod"/>
      <w:rPr>
        <w:rFonts w:ascii="Arial" w:hAnsi="Arial" w:cs="Arial"/>
        <w:sz w:val="16"/>
      </w:rPr>
    </w:pPr>
    <w:r w:rsidRPr="00DB34CB">
      <w:rPr>
        <w:rFonts w:ascii="Arial" w:hAnsi="Arial" w:cs="Arial"/>
        <w:sz w:val="16"/>
      </w:rPr>
      <w:fldChar w:fldCharType="begin"/>
    </w:r>
    <w:r w:rsidRPr="00DB34CB">
      <w:rPr>
        <w:rFonts w:ascii="Arial" w:hAnsi="Arial" w:cs="Arial"/>
        <w:sz w:val="16"/>
      </w:rPr>
      <w:instrText xml:space="preserve"> CREATEDATE  \@ "d. MMMM yyyy"  \* MERGEFORMAT </w:instrText>
    </w:r>
    <w:r w:rsidRPr="00DB34CB">
      <w:rPr>
        <w:rFonts w:ascii="Arial" w:hAnsi="Arial" w:cs="Arial"/>
        <w:sz w:val="16"/>
      </w:rPr>
      <w:fldChar w:fldCharType="separate"/>
    </w:r>
    <w:r w:rsidRPr="00DB34CB">
      <w:rPr>
        <w:rFonts w:ascii="Arial" w:hAnsi="Arial" w:cs="Arial"/>
        <w:noProof/>
        <w:sz w:val="16"/>
      </w:rPr>
      <w:t>4. oktober 2011</w:t>
    </w:r>
    <w:r w:rsidRPr="00DB34CB">
      <w:rPr>
        <w:rFonts w:ascii="Arial" w:hAnsi="Arial" w:cs="Arial"/>
        <w:sz w:val="16"/>
      </w:rPr>
      <w:fldChar w:fldCharType="end"/>
    </w:r>
    <w:r w:rsidRPr="00DB34CB">
      <w:rPr>
        <w:rFonts w:ascii="Arial" w:hAnsi="Arial" w:cs="Arial"/>
        <w:sz w:val="16"/>
      </w:rPr>
      <w:tab/>
    </w:r>
    <w:r w:rsidRPr="00DB34CB">
      <w:rPr>
        <w:rFonts w:ascii="Arial" w:hAnsi="Arial" w:cs="Arial"/>
        <w:sz w:val="16"/>
      </w:rPr>
      <w:tab/>
      <w:t xml:space="preserve">HentSelvSendData Side </w:t>
    </w:r>
    <w:r w:rsidRPr="00DB34CB">
      <w:rPr>
        <w:rFonts w:ascii="Arial" w:hAnsi="Arial" w:cs="Arial"/>
        <w:sz w:val="16"/>
      </w:rPr>
      <w:fldChar w:fldCharType="begin"/>
    </w:r>
    <w:r w:rsidRPr="00DB34CB">
      <w:rPr>
        <w:rFonts w:ascii="Arial" w:hAnsi="Arial" w:cs="Arial"/>
        <w:sz w:val="16"/>
      </w:rPr>
      <w:instrText xml:space="preserve"> PAGE  \* MERGEFORMAT </w:instrText>
    </w:r>
    <w:r w:rsidRPr="00DB34CB">
      <w:rPr>
        <w:rFonts w:ascii="Arial" w:hAnsi="Arial" w:cs="Arial"/>
        <w:sz w:val="16"/>
      </w:rPr>
      <w:fldChar w:fldCharType="separate"/>
    </w:r>
    <w:r>
      <w:rPr>
        <w:rFonts w:ascii="Arial" w:hAnsi="Arial" w:cs="Arial"/>
        <w:noProof/>
        <w:sz w:val="16"/>
      </w:rPr>
      <w:t>2</w:t>
    </w:r>
    <w:r w:rsidRPr="00DB34CB">
      <w:rPr>
        <w:rFonts w:ascii="Arial" w:hAnsi="Arial" w:cs="Arial"/>
        <w:sz w:val="16"/>
      </w:rPr>
      <w:fldChar w:fldCharType="end"/>
    </w:r>
    <w:r w:rsidRPr="00DB34CB">
      <w:rPr>
        <w:rFonts w:ascii="Arial" w:hAnsi="Arial" w:cs="Arial"/>
        <w:sz w:val="16"/>
      </w:rPr>
      <w:t xml:space="preserve"> af </w:t>
    </w:r>
    <w:r w:rsidRPr="00DB34CB">
      <w:rPr>
        <w:rFonts w:ascii="Arial" w:hAnsi="Arial" w:cs="Arial"/>
        <w:sz w:val="16"/>
      </w:rPr>
      <w:fldChar w:fldCharType="begin"/>
    </w:r>
    <w:r w:rsidRPr="00DB34CB">
      <w:rPr>
        <w:rFonts w:ascii="Arial" w:hAnsi="Arial" w:cs="Arial"/>
        <w:sz w:val="16"/>
      </w:rPr>
      <w:instrText xml:space="preserve"> NUMPAGES  \* MERGEFORMAT </w:instrText>
    </w:r>
    <w:r w:rsidRPr="00DB34CB">
      <w:rPr>
        <w:rFonts w:ascii="Arial" w:hAnsi="Arial" w:cs="Arial"/>
        <w:sz w:val="16"/>
      </w:rPr>
      <w:fldChar w:fldCharType="separate"/>
    </w:r>
    <w:r>
      <w:rPr>
        <w:rFonts w:ascii="Arial" w:hAnsi="Arial" w:cs="Arial"/>
        <w:noProof/>
        <w:sz w:val="16"/>
      </w:rPr>
      <w:t>12</w:t>
    </w:r>
    <w:r w:rsidRPr="00DB34CB">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4CB" w:rsidRDefault="00DB34CB">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4CB" w:rsidRPr="00DB34CB" w:rsidRDefault="00DB34CB" w:rsidP="00DB34C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oktober 2011</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4CB" w:rsidRDefault="00DB34CB" w:rsidP="00DB34CB">
      <w:r>
        <w:separator/>
      </w:r>
    </w:p>
  </w:footnote>
  <w:footnote w:type="continuationSeparator" w:id="0">
    <w:p w:rsidR="00DB34CB" w:rsidRDefault="00DB34CB" w:rsidP="00DB34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4CB" w:rsidRDefault="00DB34C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4CB" w:rsidRPr="00DB34CB" w:rsidRDefault="00DB34CB" w:rsidP="00DB34CB">
    <w:pPr>
      <w:pStyle w:val="Sidehoved"/>
      <w:jc w:val="center"/>
      <w:rPr>
        <w:rFonts w:ascii="Arial" w:hAnsi="Arial" w:cs="Arial"/>
        <w:sz w:val="22"/>
      </w:rPr>
    </w:pPr>
    <w:r w:rsidRPr="00DB34CB">
      <w:rPr>
        <w:rFonts w:ascii="Arial" w:hAnsi="Arial" w:cs="Arial"/>
        <w:sz w:val="22"/>
      </w:rPr>
      <w:t>Servicebeskrivelse</w:t>
    </w:r>
  </w:p>
  <w:p w:rsidR="00DB34CB" w:rsidRPr="00DB34CB" w:rsidRDefault="00DB34CB" w:rsidP="00DB34CB">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4CB" w:rsidRDefault="00DB34C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4CB" w:rsidRPr="00DB34CB" w:rsidRDefault="00DB34CB" w:rsidP="00DB34CB">
    <w:pPr>
      <w:pStyle w:val="Sidehoved"/>
      <w:jc w:val="center"/>
      <w:rPr>
        <w:rFonts w:ascii="Arial" w:hAnsi="Arial" w:cs="Arial"/>
        <w:sz w:val="22"/>
      </w:rPr>
    </w:pPr>
    <w:r w:rsidRPr="00DB34CB">
      <w:rPr>
        <w:rFonts w:ascii="Arial" w:hAnsi="Arial" w:cs="Arial"/>
        <w:sz w:val="22"/>
      </w:rPr>
      <w:t>Datastrukturer</w:t>
    </w:r>
  </w:p>
  <w:p w:rsidR="00DB34CB" w:rsidRPr="00DB34CB" w:rsidRDefault="00DB34CB" w:rsidP="00DB34CB">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4CB" w:rsidRDefault="00DB34CB" w:rsidP="00DB34CB">
    <w:pPr>
      <w:pStyle w:val="Sidehoved"/>
      <w:jc w:val="center"/>
      <w:rPr>
        <w:rFonts w:ascii="Arial" w:hAnsi="Arial" w:cs="Arial"/>
        <w:sz w:val="22"/>
      </w:rPr>
    </w:pPr>
    <w:r>
      <w:rPr>
        <w:rFonts w:ascii="Arial" w:hAnsi="Arial" w:cs="Arial"/>
        <w:sz w:val="22"/>
      </w:rPr>
      <w:t>Data elementer</w:t>
    </w:r>
  </w:p>
  <w:p w:rsidR="00DB34CB" w:rsidRPr="00DB34CB" w:rsidRDefault="00DB34CB" w:rsidP="00DB34CB">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C2C5D"/>
    <w:multiLevelType w:val="multilevel"/>
    <w:tmpl w:val="DA3A6AC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4CB"/>
    <w:rsid w:val="00427F60"/>
    <w:rsid w:val="00785361"/>
    <w:rsid w:val="007C09C7"/>
    <w:rsid w:val="00822DED"/>
    <w:rsid w:val="009303A2"/>
    <w:rsid w:val="00B71915"/>
    <w:rsid w:val="00C365FF"/>
    <w:rsid w:val="00DB34CB"/>
    <w:rsid w:val="00E96D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DB34CB"/>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B34CB"/>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DB34CB"/>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DB34CB"/>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DB34CB"/>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DB34CB"/>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DB34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B34C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B34C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DB34CB"/>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DB34CB"/>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DB34CB"/>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DB34CB"/>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DB34CB"/>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DB34CB"/>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DB34CB"/>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DB34CB"/>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DB34CB"/>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DB34CB"/>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DB34CB"/>
    <w:rPr>
      <w:rFonts w:ascii="Arial" w:hAnsi="Arial" w:cs="Arial"/>
      <w:b/>
      <w:sz w:val="30"/>
      <w:szCs w:val="24"/>
      <w:lang w:eastAsia="da-DK"/>
    </w:rPr>
  </w:style>
  <w:style w:type="paragraph" w:customStyle="1" w:styleId="Overskrift211pkt">
    <w:name w:val="Overskrift 2 + 11 pkt"/>
    <w:basedOn w:val="Normal"/>
    <w:link w:val="Overskrift211pktTegn"/>
    <w:rsid w:val="00DB34CB"/>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B34CB"/>
    <w:rPr>
      <w:rFonts w:ascii="Arial" w:hAnsi="Arial" w:cs="Arial"/>
      <w:b/>
      <w:sz w:val="22"/>
      <w:szCs w:val="24"/>
      <w:lang w:eastAsia="da-DK"/>
    </w:rPr>
  </w:style>
  <w:style w:type="paragraph" w:customStyle="1" w:styleId="Normal11">
    <w:name w:val="Normal + 11"/>
    <w:basedOn w:val="Normal"/>
    <w:link w:val="Normal11Tegn"/>
    <w:rsid w:val="00DB34CB"/>
    <w:rPr>
      <w:rFonts w:cs="Times New Roman"/>
      <w:sz w:val="22"/>
    </w:rPr>
  </w:style>
  <w:style w:type="character" w:customStyle="1" w:styleId="Normal11Tegn">
    <w:name w:val="Normal + 11 Tegn"/>
    <w:basedOn w:val="Standardskrifttypeiafsnit"/>
    <w:link w:val="Normal11"/>
    <w:rsid w:val="00DB34CB"/>
    <w:rPr>
      <w:rFonts w:cs="Times New Roman"/>
      <w:sz w:val="22"/>
      <w:szCs w:val="24"/>
      <w:lang w:eastAsia="da-DK"/>
    </w:rPr>
  </w:style>
  <w:style w:type="paragraph" w:styleId="Sidehoved">
    <w:name w:val="header"/>
    <w:basedOn w:val="Normal"/>
    <w:link w:val="SidehovedTegn"/>
    <w:uiPriority w:val="99"/>
    <w:unhideWhenUsed/>
    <w:rsid w:val="00DB34CB"/>
    <w:pPr>
      <w:tabs>
        <w:tab w:val="center" w:pos="4819"/>
        <w:tab w:val="right" w:pos="9638"/>
      </w:tabs>
    </w:pPr>
  </w:style>
  <w:style w:type="character" w:customStyle="1" w:styleId="SidehovedTegn">
    <w:name w:val="Sidehoved Tegn"/>
    <w:basedOn w:val="Standardskrifttypeiafsnit"/>
    <w:link w:val="Sidehoved"/>
    <w:uiPriority w:val="99"/>
    <w:rsid w:val="00DB34CB"/>
    <w:rPr>
      <w:szCs w:val="24"/>
      <w:lang w:eastAsia="da-DK"/>
    </w:rPr>
  </w:style>
  <w:style w:type="paragraph" w:styleId="Sidefod">
    <w:name w:val="footer"/>
    <w:basedOn w:val="Normal"/>
    <w:link w:val="SidefodTegn"/>
    <w:uiPriority w:val="99"/>
    <w:unhideWhenUsed/>
    <w:rsid w:val="00DB34CB"/>
    <w:pPr>
      <w:tabs>
        <w:tab w:val="center" w:pos="4819"/>
        <w:tab w:val="right" w:pos="9638"/>
      </w:tabs>
    </w:pPr>
  </w:style>
  <w:style w:type="character" w:customStyle="1" w:styleId="SidefodTegn">
    <w:name w:val="Sidefod Tegn"/>
    <w:basedOn w:val="Standardskrifttypeiafsnit"/>
    <w:link w:val="Sidefod"/>
    <w:uiPriority w:val="99"/>
    <w:rsid w:val="00DB34CB"/>
    <w:rPr>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DB34CB"/>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B34CB"/>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DB34CB"/>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DB34CB"/>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DB34CB"/>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DB34CB"/>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DB34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B34C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B34C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DB34CB"/>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DB34CB"/>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DB34CB"/>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DB34CB"/>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DB34CB"/>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DB34CB"/>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DB34CB"/>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DB34CB"/>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DB34CB"/>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DB34CB"/>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DB34CB"/>
    <w:rPr>
      <w:rFonts w:ascii="Arial" w:hAnsi="Arial" w:cs="Arial"/>
      <w:b/>
      <w:sz w:val="30"/>
      <w:szCs w:val="24"/>
      <w:lang w:eastAsia="da-DK"/>
    </w:rPr>
  </w:style>
  <w:style w:type="paragraph" w:customStyle="1" w:styleId="Overskrift211pkt">
    <w:name w:val="Overskrift 2 + 11 pkt"/>
    <w:basedOn w:val="Normal"/>
    <w:link w:val="Overskrift211pktTegn"/>
    <w:rsid w:val="00DB34CB"/>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B34CB"/>
    <w:rPr>
      <w:rFonts w:ascii="Arial" w:hAnsi="Arial" w:cs="Arial"/>
      <w:b/>
      <w:sz w:val="22"/>
      <w:szCs w:val="24"/>
      <w:lang w:eastAsia="da-DK"/>
    </w:rPr>
  </w:style>
  <w:style w:type="paragraph" w:customStyle="1" w:styleId="Normal11">
    <w:name w:val="Normal + 11"/>
    <w:basedOn w:val="Normal"/>
    <w:link w:val="Normal11Tegn"/>
    <w:rsid w:val="00DB34CB"/>
    <w:rPr>
      <w:rFonts w:cs="Times New Roman"/>
      <w:sz w:val="22"/>
    </w:rPr>
  </w:style>
  <w:style w:type="character" w:customStyle="1" w:styleId="Normal11Tegn">
    <w:name w:val="Normal + 11 Tegn"/>
    <w:basedOn w:val="Standardskrifttypeiafsnit"/>
    <w:link w:val="Normal11"/>
    <w:rsid w:val="00DB34CB"/>
    <w:rPr>
      <w:rFonts w:cs="Times New Roman"/>
      <w:sz w:val="22"/>
      <w:szCs w:val="24"/>
      <w:lang w:eastAsia="da-DK"/>
    </w:rPr>
  </w:style>
  <w:style w:type="paragraph" w:styleId="Sidehoved">
    <w:name w:val="header"/>
    <w:basedOn w:val="Normal"/>
    <w:link w:val="SidehovedTegn"/>
    <w:uiPriority w:val="99"/>
    <w:unhideWhenUsed/>
    <w:rsid w:val="00DB34CB"/>
    <w:pPr>
      <w:tabs>
        <w:tab w:val="center" w:pos="4819"/>
        <w:tab w:val="right" w:pos="9638"/>
      </w:tabs>
    </w:pPr>
  </w:style>
  <w:style w:type="character" w:customStyle="1" w:styleId="SidehovedTegn">
    <w:name w:val="Sidehoved Tegn"/>
    <w:basedOn w:val="Standardskrifttypeiafsnit"/>
    <w:link w:val="Sidehoved"/>
    <w:uiPriority w:val="99"/>
    <w:rsid w:val="00DB34CB"/>
    <w:rPr>
      <w:szCs w:val="24"/>
      <w:lang w:eastAsia="da-DK"/>
    </w:rPr>
  </w:style>
  <w:style w:type="paragraph" w:styleId="Sidefod">
    <w:name w:val="footer"/>
    <w:basedOn w:val="Normal"/>
    <w:link w:val="SidefodTegn"/>
    <w:uiPriority w:val="99"/>
    <w:unhideWhenUsed/>
    <w:rsid w:val="00DB34CB"/>
    <w:pPr>
      <w:tabs>
        <w:tab w:val="center" w:pos="4819"/>
        <w:tab w:val="right" w:pos="9638"/>
      </w:tabs>
    </w:pPr>
  </w:style>
  <w:style w:type="character" w:customStyle="1" w:styleId="SidefodTegn">
    <w:name w:val="Sidefod Tegn"/>
    <w:basedOn w:val="Standardskrifttypeiafsnit"/>
    <w:link w:val="Sidefod"/>
    <w:uiPriority w:val="99"/>
    <w:rsid w:val="00DB34CB"/>
    <w:rPr>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4112</Words>
  <Characters>25084</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29138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cp:revision>
  <dcterms:created xsi:type="dcterms:W3CDTF">2011-10-04T09:33:00Z</dcterms:created>
  <dcterms:modified xsi:type="dcterms:W3CDTF">2011-10-04T09:34:00Z</dcterms:modified>
</cp:coreProperties>
</file>