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2F91" w:rsidRDefault="00C42DFD" w:rsidP="00C42DFD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outlineLvl w:val="0"/>
        <w:rPr>
          <w:rFonts w:ascii="Arial" w:hAnsi="Arial" w:cs="Arial"/>
          <w:b/>
          <w:sz w:val="48"/>
        </w:rPr>
      </w:pPr>
      <w:r>
        <w:rPr>
          <w:rFonts w:ascii="Arial" w:hAnsi="Arial" w:cs="Arial"/>
          <w:b/>
          <w:sz w:val="48"/>
        </w:rPr>
        <w:t>Servicebeskrivelser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1"/>
        <w:gridCol w:w="3969"/>
        <w:gridCol w:w="1134"/>
        <w:gridCol w:w="1699"/>
        <w:gridCol w:w="1699"/>
        <w:gridCol w:w="3"/>
      </w:tblGrid>
      <w:tr w:rsidR="00C42DFD" w:rsidTr="00C42DFD">
        <w:tblPrEx>
          <w:tblCellMar>
            <w:top w:w="0" w:type="dxa"/>
            <w:bottom w:w="0" w:type="dxa"/>
          </w:tblCellMar>
        </w:tblPrEx>
        <w:trPr>
          <w:trHeight w:hRule="exact" w:val="113"/>
        </w:trPr>
        <w:tc>
          <w:tcPr>
            <w:tcW w:w="10205" w:type="dxa"/>
            <w:gridSpan w:val="6"/>
            <w:shd w:val="clear" w:color="auto" w:fill="82A0F0"/>
          </w:tcPr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48"/>
              </w:rPr>
            </w:pPr>
          </w:p>
        </w:tc>
      </w:tr>
      <w:tr w:rsidR="00C42DFD" w:rsidTr="00C42DFD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tcBorders>
              <w:bottom w:val="single" w:sz="6" w:space="0" w:color="auto"/>
            </w:tcBorders>
          </w:tcPr>
          <w:p w:rsidR="00C42DFD" w:rsidRP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b/>
                <w:sz w:val="30"/>
              </w:rPr>
            </w:pPr>
            <w:r w:rsidRPr="00C42DFD">
              <w:rPr>
                <w:rFonts w:ascii="Arial" w:hAnsi="Arial" w:cs="Arial"/>
                <w:b/>
                <w:sz w:val="30"/>
              </w:rPr>
              <w:t>EUMeddelelseAEOIModtag</w:t>
            </w:r>
          </w:p>
        </w:tc>
      </w:tr>
      <w:tr w:rsidR="00C42DFD" w:rsidTr="00C42DFD">
        <w:tblPrEx>
          <w:tblCellMar>
            <w:top w:w="0" w:type="dxa"/>
            <w:bottom w:w="0" w:type="dxa"/>
          </w:tblCellMar>
        </w:tblPrEx>
        <w:trPr>
          <w:gridAfter w:val="1"/>
          <w:trHeight w:val="283"/>
        </w:trPr>
        <w:tc>
          <w:tcPr>
            <w:tcW w:w="1701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:rsidR="00C42DFD" w:rsidRP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System:</w:t>
            </w:r>
          </w:p>
        </w:tc>
        <w:tc>
          <w:tcPr>
            <w:tcW w:w="3969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:rsidR="00C42DFD" w:rsidRP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1134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:rsidR="00C42DFD" w:rsidRP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Version:</w:t>
            </w:r>
          </w:p>
        </w:tc>
        <w:tc>
          <w:tcPr>
            <w:tcW w:w="1699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:rsidR="00C42DFD" w:rsidRP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Oprettet:</w:t>
            </w:r>
          </w:p>
        </w:tc>
        <w:tc>
          <w:tcPr>
            <w:tcW w:w="1699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:rsidR="00C42DFD" w:rsidRP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Dato:</w:t>
            </w:r>
          </w:p>
        </w:tc>
      </w:tr>
      <w:tr w:rsidR="00C42DFD" w:rsidTr="00C42DFD">
        <w:tblPrEx>
          <w:tblCellMar>
            <w:top w:w="0" w:type="dxa"/>
            <w:bottom w:w="0" w:type="dxa"/>
          </w:tblCellMar>
        </w:tblPrEx>
        <w:trPr>
          <w:gridAfter w:val="1"/>
          <w:trHeight w:val="283"/>
        </w:trPr>
        <w:tc>
          <w:tcPr>
            <w:tcW w:w="1701" w:type="dxa"/>
            <w:tcBorders>
              <w:top w:val="nil"/>
            </w:tcBorders>
            <w:shd w:val="clear" w:color="auto" w:fill="auto"/>
            <w:vAlign w:val="center"/>
          </w:tcPr>
          <w:p w:rsidR="00C42DFD" w:rsidRP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USO</w:t>
            </w:r>
          </w:p>
        </w:tc>
        <w:tc>
          <w:tcPr>
            <w:tcW w:w="3969" w:type="dxa"/>
            <w:tcBorders>
              <w:top w:val="nil"/>
            </w:tcBorders>
            <w:shd w:val="clear" w:color="auto" w:fill="auto"/>
            <w:vAlign w:val="center"/>
          </w:tcPr>
          <w:p w:rsidR="00C42DFD" w:rsidRP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eKapitalModernisering</w:t>
            </w:r>
          </w:p>
        </w:tc>
        <w:tc>
          <w:tcPr>
            <w:tcW w:w="1134" w:type="dxa"/>
            <w:tcBorders>
              <w:top w:val="nil"/>
            </w:tcBorders>
            <w:shd w:val="clear" w:color="auto" w:fill="auto"/>
            <w:vAlign w:val="center"/>
          </w:tcPr>
          <w:p w:rsidR="00C42DFD" w:rsidRP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1.0</w:t>
            </w:r>
          </w:p>
        </w:tc>
        <w:tc>
          <w:tcPr>
            <w:tcW w:w="1699" w:type="dxa"/>
            <w:tcBorders>
              <w:top w:val="nil"/>
            </w:tcBorders>
            <w:shd w:val="clear" w:color="auto" w:fill="auto"/>
            <w:vAlign w:val="center"/>
          </w:tcPr>
          <w:p w:rsidR="00C42DFD" w:rsidRP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2013-06-26</w:t>
            </w:r>
          </w:p>
        </w:tc>
        <w:tc>
          <w:tcPr>
            <w:tcW w:w="1699" w:type="dxa"/>
            <w:tcBorders>
              <w:top w:val="nil"/>
            </w:tcBorders>
            <w:shd w:val="clear" w:color="auto" w:fill="auto"/>
            <w:vAlign w:val="center"/>
          </w:tcPr>
          <w:p w:rsidR="00C42DFD" w:rsidRP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2015-02-04</w:t>
            </w:r>
          </w:p>
        </w:tc>
      </w:tr>
      <w:tr w:rsidR="00C42DFD" w:rsidTr="00C42DFD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D2DCFA"/>
            <w:vAlign w:val="center"/>
          </w:tcPr>
          <w:p w:rsidR="00C42DFD" w:rsidRP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Formål:</w:t>
            </w:r>
          </w:p>
        </w:tc>
      </w:tr>
      <w:tr w:rsidR="00C42DFD" w:rsidTr="00C42DFD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vAlign w:val="center"/>
          </w:tcPr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At modtage en AEOI meddelse fra LXR gatewayen. En AEOI-meddelelse kan være:</w:t>
            </w:r>
          </w:p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- AEOIDatabesked</w:t>
            </w:r>
          </w:p>
          <w:p w:rsidR="00C42DFD" w:rsidRP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- AEOIStatusbesked</w:t>
            </w:r>
          </w:p>
        </w:tc>
      </w:tr>
      <w:tr w:rsidR="00C42DFD" w:rsidTr="00C42DFD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D2DCFA"/>
            <w:vAlign w:val="center"/>
          </w:tcPr>
          <w:p w:rsidR="00C42DFD" w:rsidRP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Overordnet beskrivelse af funktionalitet:</w:t>
            </w:r>
          </w:p>
        </w:tc>
      </w:tr>
      <w:tr w:rsidR="00C42DFD" w:rsidTr="00C42DFD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</w:tcPr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Denne service kaldes hver gang en EU-meddelelse modtages. Indholdet i beskeden konverteres til de respektive dataelementer, som indgår i SKATs begrebsmodel. Disse strukturer dækker den komplette model, da alle data og meddelelsestyper skal kunne modtages. </w:t>
            </w:r>
          </w:p>
          <w:p w:rsidR="00C42DFD" w:rsidRP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Den modsvarende service for afsendelse hedder EUMeddelelseAEOISend, som kun indeholder den delmængde af felter, som SKAT sender.</w:t>
            </w:r>
          </w:p>
        </w:tc>
      </w:tr>
      <w:tr w:rsidR="00C42DFD" w:rsidTr="00C42DFD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D2DCFA"/>
            <w:vAlign w:val="center"/>
          </w:tcPr>
          <w:p w:rsidR="00C42DFD" w:rsidRP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Detaljeret beskrivelse af funktionalitet</w:t>
            </w:r>
          </w:p>
        </w:tc>
      </w:tr>
      <w:tr w:rsidR="00C42DFD" w:rsidTr="00C42DFD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Version 1.0 er udarbejdet på grundlag af Functional Specification (FS) v. 2.09 og Technical Specification (TS) v. 2.03.</w:t>
            </w:r>
          </w:p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Servicen kan modtage disse meddelelser:</w:t>
            </w:r>
          </w:p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AEOI-IE</w:t>
            </w:r>
          </w:p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AEOI-DF (samme format som AEOI-IE)</w:t>
            </w:r>
          </w:p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AEOI-PEN</w:t>
            </w:r>
          </w:p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AEOI-LIP</w:t>
            </w:r>
          </w:p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AEOI-IP</w:t>
            </w:r>
          </w:p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Status</w:t>
            </w:r>
          </w:p>
          <w:p w:rsidR="00C42DFD" w:rsidRP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Zero Data</w:t>
            </w:r>
          </w:p>
        </w:tc>
      </w:tr>
      <w:tr w:rsidR="00C42DFD" w:rsidTr="00C42DFD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D2DCFA"/>
            <w:vAlign w:val="center"/>
          </w:tcPr>
          <w:p w:rsidR="00C42DFD" w:rsidRP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Datastrukturer</w:t>
            </w:r>
          </w:p>
        </w:tc>
      </w:tr>
      <w:tr w:rsidR="00C42DFD" w:rsidTr="00C42DFD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  <w:vAlign w:val="center"/>
          </w:tcPr>
          <w:p w:rsidR="00C42DFD" w:rsidRP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Input:</w:t>
            </w:r>
          </w:p>
        </w:tc>
      </w:tr>
      <w:tr w:rsidR="00C42DFD" w:rsidTr="00C42DFD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C42DFD" w:rsidRP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i/>
                <w:sz w:val="18"/>
              </w:rPr>
            </w:pPr>
            <w:r>
              <w:rPr>
                <w:rFonts w:ascii="Arial" w:hAnsi="Arial" w:cs="Arial"/>
                <w:i/>
                <w:sz w:val="18"/>
              </w:rPr>
              <w:t>EUMeddelelseAEOIModtag_I</w:t>
            </w:r>
          </w:p>
        </w:tc>
      </w:tr>
      <w:tr w:rsidR="00C42DFD" w:rsidTr="00C42DFD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BeskedQName</w:t>
            </w:r>
          </w:p>
          <w:p w:rsidR="00C42DFD" w:rsidRP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(EUMeddelelseModtagInddataStruktur)</w:t>
            </w:r>
          </w:p>
        </w:tc>
      </w:tr>
      <w:tr w:rsidR="00C42DFD" w:rsidTr="00C42DFD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Den synkrone kaldsmetode fra EU til system. Svarer til </w:t>
            </w:r>
          </w:p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CcnCsiAdapterCallback::ReceiveRequest</w:t>
            </w:r>
          </w:p>
          <w:p w:rsidR="00C42DFD" w:rsidRP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CcnCsiAdapterCallback::ReportProblemRequest</w:t>
            </w:r>
          </w:p>
        </w:tc>
      </w:tr>
      <w:tr w:rsidR="00C42DFD" w:rsidTr="00C42DFD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  <w:vAlign w:val="center"/>
          </w:tcPr>
          <w:p w:rsidR="00C42DFD" w:rsidRP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Output:</w:t>
            </w:r>
          </w:p>
        </w:tc>
      </w:tr>
      <w:tr w:rsidR="00C42DFD" w:rsidTr="00C42DFD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C42DFD" w:rsidRP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i/>
                <w:sz w:val="18"/>
              </w:rPr>
            </w:pPr>
            <w:r>
              <w:rPr>
                <w:rFonts w:ascii="Arial" w:hAnsi="Arial" w:cs="Arial"/>
                <w:i/>
                <w:sz w:val="18"/>
              </w:rPr>
              <w:t>EUMeddelelseAEOIModtag_O</w:t>
            </w:r>
          </w:p>
        </w:tc>
      </w:tr>
      <w:tr w:rsidR="00C42DFD" w:rsidTr="00C42DFD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BeskedQName</w:t>
            </w:r>
          </w:p>
          <w:p w:rsidR="00C42DFD" w:rsidRP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EUMeddelelseModtagUddataStruktur</w:t>
            </w:r>
          </w:p>
        </w:tc>
      </w:tr>
      <w:tr w:rsidR="00C42DFD" w:rsidTr="00C42DFD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Den synkrone svarmetode fra system til EU på kald af EUListeMeddelelseModtag_I. Svarer til</w:t>
            </w:r>
          </w:p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CcnCsiAdapterCallback::ReceiveResponse</w:t>
            </w:r>
          </w:p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CcnCsiAdapterCallback::ReceiveFault</w:t>
            </w:r>
          </w:p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CcnCsiAdapterCallback::ReportProblemResponse</w:t>
            </w:r>
          </w:p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CcnCsiAdapterCallback::ReportProblemFault</w:t>
            </w:r>
          </w:p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CcnCsiAdapterCallback::ReceiveFault og</w:t>
            </w:r>
          </w:p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CcnCsiAdapterCallback::ReportProblemFault</w:t>
            </w:r>
          </w:p>
          <w:p w:rsidR="00C42DFD" w:rsidRP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Rapporteres igennem HovedOplysninger.</w:t>
            </w:r>
          </w:p>
        </w:tc>
      </w:tr>
      <w:tr w:rsidR="00C42DFD" w:rsidTr="00C42DFD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D2DCFA"/>
            <w:vAlign w:val="center"/>
          </w:tcPr>
          <w:p w:rsidR="00C42DFD" w:rsidRP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Referencer fra use case(s)</w:t>
            </w:r>
          </w:p>
        </w:tc>
      </w:tr>
      <w:tr w:rsidR="00C42DFD" w:rsidTr="00C42DFD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C42DFD" w:rsidRP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"U08 Modtag, validér og gem EU-databesked (SKATXML)"</w:t>
            </w:r>
          </w:p>
        </w:tc>
      </w:tr>
    </w:tbl>
    <w:p w:rsidR="00C42DFD" w:rsidRDefault="00C42DFD" w:rsidP="00C42DFD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rPr>
          <w:rFonts w:ascii="Arial" w:hAnsi="Arial" w:cs="Arial"/>
          <w:b/>
          <w:sz w:val="48"/>
        </w:rPr>
        <w:sectPr w:rsidR="00C42DFD" w:rsidSect="00C42DFD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567" w:right="567" w:bottom="567" w:left="1134" w:header="283" w:footer="708" w:gutter="0"/>
          <w:cols w:space="708"/>
          <w:docGrid w:linePitch="360"/>
        </w:sectPr>
      </w:pPr>
    </w:p>
    <w:p w:rsidR="00C42DFD" w:rsidRDefault="00C42DFD" w:rsidP="00C42DFD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outlineLvl w:val="0"/>
        <w:rPr>
          <w:rFonts w:ascii="Arial" w:hAnsi="Arial" w:cs="Arial"/>
          <w:b/>
          <w:sz w:val="48"/>
        </w:rPr>
      </w:pPr>
      <w:r>
        <w:rPr>
          <w:rFonts w:ascii="Arial" w:hAnsi="Arial" w:cs="Arial"/>
          <w:b/>
          <w:sz w:val="48"/>
        </w:rPr>
        <w:t>Fælles datastrukturer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5"/>
      </w:tblGrid>
      <w:tr w:rsidR="00C42DFD" w:rsidTr="00C42DFD">
        <w:tblPrEx>
          <w:tblCellMar>
            <w:top w:w="0" w:type="dxa"/>
            <w:bottom w:w="0" w:type="dxa"/>
          </w:tblCellMar>
        </w:tblPrEx>
        <w:trPr>
          <w:trHeight w:hRule="exact" w:val="113"/>
        </w:trPr>
        <w:tc>
          <w:tcPr>
            <w:tcW w:w="10205" w:type="dxa"/>
            <w:shd w:val="clear" w:color="auto" w:fill="D2DCFA"/>
          </w:tcPr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48"/>
              </w:rPr>
            </w:pPr>
          </w:p>
        </w:tc>
      </w:tr>
      <w:tr w:rsidR="00C42DFD" w:rsidTr="00C42DFD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C42DFD" w:rsidRP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EUMeddelelseModtagInddataStruktur</w:t>
            </w:r>
          </w:p>
        </w:tc>
      </w:tr>
      <w:tr w:rsidR="00C42DFD" w:rsidTr="00C42DFD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 Modtagerland *</w:t>
            </w:r>
          </w:p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LandKode</w:t>
            </w:r>
          </w:p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(EUMeddelelseEndepunkt)</w:t>
            </w:r>
          </w:p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(EUMeddelelseID)</w:t>
            </w:r>
          </w:p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(EUMeddelelseIDBinær)</w:t>
            </w:r>
          </w:p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(EUMeddelelseIDHex)</w:t>
            </w:r>
          </w:p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</w:p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 MeddelelseRelation *</w:t>
            </w:r>
          </w:p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EUMeddelelseID</w:t>
            </w:r>
          </w:p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(EUMeddelelseIDBinær)</w:t>
            </w:r>
          </w:p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(EUMeddelelseIDHex)</w:t>
            </w:r>
          </w:p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)</w:t>
            </w:r>
          </w:p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EUMeddelelseType</w:t>
            </w:r>
          </w:p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EUMeddeleIseSystem</w:t>
            </w:r>
          </w:p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(EUMeddelelseUdvekslingstype)</w:t>
            </w:r>
          </w:p>
          <w:p w:rsidR="00C42DFD" w:rsidRP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EUMeddelelseIndhold</w:t>
            </w:r>
          </w:p>
        </w:tc>
      </w:tr>
    </w:tbl>
    <w:p w:rsidR="00C42DFD" w:rsidRDefault="00C42DFD" w:rsidP="00C42DFD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rPr>
          <w:rFonts w:ascii="Arial" w:hAnsi="Arial" w:cs="Arial"/>
          <w:b/>
          <w:sz w:val="4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5"/>
      </w:tblGrid>
      <w:tr w:rsidR="00C42DFD" w:rsidTr="00C42DFD">
        <w:tblPrEx>
          <w:tblCellMar>
            <w:top w:w="0" w:type="dxa"/>
            <w:bottom w:w="0" w:type="dxa"/>
          </w:tblCellMar>
        </w:tblPrEx>
        <w:trPr>
          <w:trHeight w:hRule="exact" w:val="113"/>
        </w:trPr>
        <w:tc>
          <w:tcPr>
            <w:tcW w:w="10205" w:type="dxa"/>
            <w:shd w:val="clear" w:color="auto" w:fill="D2DCFA"/>
          </w:tcPr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48"/>
              </w:rPr>
            </w:pPr>
          </w:p>
        </w:tc>
      </w:tr>
      <w:tr w:rsidR="00C42DFD" w:rsidTr="00C42DFD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C42DFD" w:rsidRP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EUMeddelelseModtagUddataStruktur</w:t>
            </w:r>
          </w:p>
        </w:tc>
      </w:tr>
      <w:tr w:rsidR="00C42DFD" w:rsidTr="00C42DFD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C42DFD" w:rsidRP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EUMeddelelseOutput</w:t>
            </w:r>
          </w:p>
        </w:tc>
      </w:tr>
    </w:tbl>
    <w:p w:rsidR="00C42DFD" w:rsidRDefault="00C42DFD" w:rsidP="00C42DFD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rPr>
          <w:rFonts w:ascii="Arial" w:hAnsi="Arial" w:cs="Arial"/>
          <w:b/>
          <w:sz w:val="48"/>
        </w:rPr>
      </w:pPr>
    </w:p>
    <w:p w:rsidR="00C42DFD" w:rsidRDefault="00C42DFD" w:rsidP="00C42DFD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rPr>
          <w:rFonts w:ascii="Arial" w:hAnsi="Arial" w:cs="Arial"/>
          <w:b/>
          <w:sz w:val="48"/>
        </w:rPr>
        <w:sectPr w:rsidR="00C42DFD" w:rsidSect="00C42DFD">
          <w:headerReference w:type="default" r:id="rId13"/>
          <w:pgSz w:w="11906" w:h="16838"/>
          <w:pgMar w:top="567" w:right="567" w:bottom="567" w:left="1134" w:header="283" w:footer="708" w:gutter="0"/>
          <w:cols w:space="708"/>
          <w:docGrid w:linePitch="360"/>
        </w:sectPr>
      </w:pPr>
    </w:p>
    <w:p w:rsidR="00C42DFD" w:rsidRDefault="00C42DFD" w:rsidP="00C42DFD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outlineLvl w:val="0"/>
        <w:rPr>
          <w:rFonts w:ascii="Arial" w:hAnsi="Arial" w:cs="Arial"/>
          <w:b/>
          <w:sz w:val="48"/>
        </w:rPr>
      </w:pPr>
      <w:r>
        <w:rPr>
          <w:rFonts w:ascii="Arial" w:hAnsi="Arial" w:cs="Arial"/>
          <w:b/>
          <w:sz w:val="48"/>
        </w:rPr>
        <w:t>Dataelementer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01"/>
        <w:gridCol w:w="1701"/>
        <w:gridCol w:w="4671"/>
      </w:tblGrid>
      <w:tr w:rsidR="00C42DFD" w:rsidTr="00C42DF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1" w:type="dxa"/>
            <w:shd w:val="clear" w:color="auto" w:fill="D2DCFA"/>
            <w:vAlign w:val="center"/>
          </w:tcPr>
          <w:p w:rsidR="00C42DFD" w:rsidRP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Dataelement</w:t>
            </w:r>
          </w:p>
        </w:tc>
        <w:tc>
          <w:tcPr>
            <w:tcW w:w="1701" w:type="dxa"/>
            <w:shd w:val="clear" w:color="auto" w:fill="D2DCFA"/>
            <w:vAlign w:val="center"/>
          </w:tcPr>
          <w:p w:rsidR="00C42DFD" w:rsidRP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Datatype</w:t>
            </w:r>
          </w:p>
        </w:tc>
        <w:tc>
          <w:tcPr>
            <w:tcW w:w="4671" w:type="dxa"/>
            <w:shd w:val="clear" w:color="auto" w:fill="D2DCFA"/>
            <w:vAlign w:val="center"/>
          </w:tcPr>
          <w:p w:rsidR="00C42DFD" w:rsidRP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Beskrivelse/værdisæt</w:t>
            </w:r>
          </w:p>
        </w:tc>
      </w:tr>
      <w:tr w:rsidR="00C42DFD" w:rsidTr="00C42DFD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C42DFD" w:rsidRP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EUMeddeleIseSystem</w:t>
            </w:r>
          </w:p>
        </w:tc>
        <w:tc>
          <w:tcPr>
            <w:tcW w:w="1701" w:type="dxa"/>
          </w:tcPr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C42DFD" w:rsidRP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32</w:t>
            </w:r>
          </w:p>
        </w:tc>
        <w:tc>
          <w:tcPr>
            <w:tcW w:w="4671" w:type="dxa"/>
          </w:tcPr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Transient dataelement, som angiver hvilket system der skal udveksle EU-meddelelsen. Her anvendes EUs navngivning, fx EMCS, VATRefund (Momsrefusion), mv.</w:t>
            </w:r>
          </w:p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42DFD" w:rsidRP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C42DFD" w:rsidTr="00C42DFD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C42DFD" w:rsidRP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EUMeddelelseEndepunkt</w:t>
            </w:r>
          </w:p>
        </w:tc>
        <w:tc>
          <w:tcPr>
            <w:tcW w:w="1701" w:type="dxa"/>
          </w:tcPr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C42DFD" w:rsidRP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255</w:t>
            </w:r>
          </w:p>
        </w:tc>
        <w:tc>
          <w:tcPr>
            <w:tcW w:w="4671" w:type="dxa"/>
          </w:tcPr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Transient dataelement</w:t>
            </w:r>
          </w:p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[MANGLER - skal defineres når konkret testdata foreligger]</w:t>
            </w:r>
          </w:p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42DFD" w:rsidRP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C42DFD" w:rsidTr="00C42DFD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C42DFD" w:rsidRP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EUMeddelelseID</w:t>
            </w:r>
          </w:p>
        </w:tc>
        <w:tc>
          <w:tcPr>
            <w:tcW w:w="1701" w:type="dxa"/>
          </w:tcPr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64</w:t>
            </w:r>
          </w:p>
          <w:p w:rsidR="00C42DFD" w:rsidRP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[A-Z]{2}[0-9]{62}</w:t>
            </w:r>
          </w:p>
        </w:tc>
        <w:tc>
          <w:tcPr>
            <w:tcW w:w="4671" w:type="dxa"/>
          </w:tcPr>
          <w:p w:rsidR="00C42DFD" w:rsidRP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C42DFD" w:rsidTr="00C42DFD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C42DFD" w:rsidRP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EUMeddelelseIDBinær</w:t>
            </w:r>
          </w:p>
        </w:tc>
        <w:tc>
          <w:tcPr>
            <w:tcW w:w="1701" w:type="dxa"/>
          </w:tcPr>
          <w:p w:rsidR="00C42DFD" w:rsidRP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base64Binary</w:t>
            </w:r>
          </w:p>
        </w:tc>
        <w:tc>
          <w:tcPr>
            <w:tcW w:w="4671" w:type="dxa"/>
          </w:tcPr>
          <w:p w:rsidR="00C42DFD" w:rsidRP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C42DFD" w:rsidTr="00C42DFD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C42DFD" w:rsidRP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EUMeddelelseIDHex</w:t>
            </w:r>
          </w:p>
        </w:tc>
        <w:tc>
          <w:tcPr>
            <w:tcW w:w="1701" w:type="dxa"/>
          </w:tcPr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C42DFD" w:rsidRP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255</w:t>
            </w:r>
          </w:p>
        </w:tc>
        <w:tc>
          <w:tcPr>
            <w:tcW w:w="4671" w:type="dxa"/>
          </w:tcPr>
          <w:p w:rsidR="00C42DFD" w:rsidRP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C42DFD" w:rsidTr="00C42DFD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C42DFD" w:rsidRP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EUMeddelelseIndhold</w:t>
            </w:r>
          </w:p>
        </w:tc>
        <w:tc>
          <w:tcPr>
            <w:tcW w:w="1701" w:type="dxa"/>
          </w:tcPr>
          <w:p w:rsidR="00C42DFD" w:rsidRP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anyXML</w:t>
            </w:r>
          </w:p>
        </w:tc>
        <w:tc>
          <w:tcPr>
            <w:tcW w:w="4671" w:type="dxa"/>
          </w:tcPr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Indholdet i en EU-meddelelse medsendes som XML indholdeldende header med indledende oplysninger, og en body med selve meddelelsens tekst eller indhold.</w:t>
            </w:r>
          </w:p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42DFD" w:rsidRP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C42DFD" w:rsidTr="00C42DFD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C42DFD" w:rsidRP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EUMeddelelseOutput</w:t>
            </w:r>
          </w:p>
        </w:tc>
        <w:tc>
          <w:tcPr>
            <w:tcW w:w="1701" w:type="dxa"/>
          </w:tcPr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C42DFD" w:rsidRP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500</w:t>
            </w:r>
          </w:p>
        </w:tc>
        <w:tc>
          <w:tcPr>
            <w:tcW w:w="4671" w:type="dxa"/>
          </w:tcPr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Transient dataelement</w:t>
            </w:r>
          </w:p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[MANGLER - skal defineres når konkret testdata foreligger, skal muligvis erstattes af EUMeddelelseIndhold]</w:t>
            </w:r>
          </w:p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42DFD" w:rsidRP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C42DFD" w:rsidTr="00C42DFD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C42DFD" w:rsidRP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EUMeddelelseType</w:t>
            </w:r>
          </w:p>
        </w:tc>
        <w:tc>
          <w:tcPr>
            <w:tcW w:w="1701" w:type="dxa"/>
          </w:tcPr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C42DFD" w:rsidRP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32</w:t>
            </w:r>
          </w:p>
        </w:tc>
        <w:tc>
          <w:tcPr>
            <w:tcW w:w="4671" w:type="dxa"/>
          </w:tcPr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Transient dataelement, som angiver typen på en EU-meddelelse, som defineret af CCN.</w:t>
            </w:r>
          </w:p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42DFD" w:rsidRP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C42DFD" w:rsidTr="00C42DFD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C42DFD" w:rsidRP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EUMeddelelseUdvekslingstype</w:t>
            </w:r>
          </w:p>
        </w:tc>
        <w:tc>
          <w:tcPr>
            <w:tcW w:w="1701" w:type="dxa"/>
          </w:tcPr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10</w:t>
            </w:r>
          </w:p>
          <w:p w:rsidR="00C42DFD" w:rsidRP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enumeration: DATAGRAM, REQUEST, REPLY, REPORT</w:t>
            </w:r>
          </w:p>
        </w:tc>
        <w:tc>
          <w:tcPr>
            <w:tcW w:w="4671" w:type="dxa"/>
          </w:tcPr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Transient dataelement</w:t>
            </w:r>
          </w:p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[MANGLER - skal defineres når konkret testdata foreligger]</w:t>
            </w:r>
          </w:p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42DFD" w:rsidRP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C42DFD" w:rsidTr="00C42DFD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C42DFD" w:rsidRP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LandKode</w:t>
            </w:r>
          </w:p>
        </w:tc>
        <w:tc>
          <w:tcPr>
            <w:tcW w:w="1701" w:type="dxa"/>
          </w:tcPr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bookmarkStart w:id="0" w:name="_GoBack"/>
            <w:bookmarkEnd w:id="0"/>
            <w:r>
              <w:rPr>
                <w:rFonts w:ascii="Arial" w:hAnsi="Arial" w:cs="Arial"/>
                <w:sz w:val="18"/>
              </w:rPr>
              <w:t>base: string</w:t>
            </w:r>
          </w:p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2</w:t>
            </w:r>
          </w:p>
          <w:p w:rsidR="00C42DFD" w:rsidRP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[A-Z]{2}</w:t>
            </w:r>
          </w:p>
        </w:tc>
        <w:tc>
          <w:tcPr>
            <w:tcW w:w="4671" w:type="dxa"/>
          </w:tcPr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Landekode</w:t>
            </w:r>
          </w:p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Grundlæggende værdisæt:</w:t>
            </w:r>
          </w:p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Feltet skal altid være udfyldt.</w:t>
            </w:r>
          </w:p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ISO-standard, som hentes/valideres i Erhvervssystemets værdisæt for Lande, = elementet Land_nvn_kort.</w:t>
            </w:r>
          </w:p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Undtagelse er dog Grækenland, som er dispenseret fra ordningen og må bruge "EL".</w:t>
            </w:r>
          </w:p>
          <w:p w:rsid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C42DFD" w:rsidRPr="00C42DFD" w:rsidRDefault="00C42DFD" w:rsidP="00C42DF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</w:tbl>
    <w:p w:rsidR="00C42DFD" w:rsidRPr="00C42DFD" w:rsidRDefault="00C42DFD" w:rsidP="00C42DFD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rPr>
          <w:rFonts w:ascii="Arial" w:hAnsi="Arial" w:cs="Arial"/>
          <w:b/>
          <w:sz w:val="48"/>
        </w:rPr>
      </w:pPr>
    </w:p>
    <w:sectPr w:rsidR="00C42DFD" w:rsidRPr="00C42DFD" w:rsidSect="00C42DFD">
      <w:headerReference w:type="default" r:id="rId14"/>
      <w:pgSz w:w="11906" w:h="16838"/>
      <w:pgMar w:top="567" w:right="567" w:bottom="567" w:left="1134" w:header="28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42DFD" w:rsidRDefault="00C42DFD" w:rsidP="00C42DFD">
      <w:pPr>
        <w:spacing w:line="240" w:lineRule="auto"/>
      </w:pPr>
      <w:r>
        <w:separator/>
      </w:r>
    </w:p>
  </w:endnote>
  <w:endnote w:type="continuationSeparator" w:id="0">
    <w:p w:rsidR="00C42DFD" w:rsidRDefault="00C42DFD" w:rsidP="00C42D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42DFD" w:rsidRDefault="00C42DFD">
    <w:pPr>
      <w:pStyle w:val="Sidefod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42DFD" w:rsidRPr="00C42DFD" w:rsidRDefault="00C42DFD" w:rsidP="00C42DFD">
    <w:pPr>
      <w:pStyle w:val="Sidefod"/>
    </w:pPr>
    <w:r>
      <w:rPr>
        <w:rFonts w:ascii="Arial" w:hAnsi="Arial" w:cs="Arial"/>
        <w:sz w:val="16"/>
      </w:rPr>
      <w:fldChar w:fldCharType="begin"/>
    </w:r>
    <w:r>
      <w:rPr>
        <w:rFonts w:ascii="Arial" w:hAnsi="Arial" w:cs="Arial"/>
        <w:sz w:val="16"/>
      </w:rPr>
      <w:instrText xml:space="preserve"> CREATEDATE  \@ "d. MMMM yyyy"  \* MERGEFORMAT </w:instrText>
    </w:r>
    <w:r>
      <w:rPr>
        <w:rFonts w:ascii="Arial" w:hAnsi="Arial" w:cs="Arial"/>
        <w:sz w:val="16"/>
      </w:rPr>
      <w:fldChar w:fldCharType="separate"/>
    </w:r>
    <w:r>
      <w:rPr>
        <w:rFonts w:ascii="Arial" w:hAnsi="Arial" w:cs="Arial"/>
        <w:noProof/>
        <w:sz w:val="16"/>
      </w:rPr>
      <w:t>5. februar 2015</w:t>
    </w:r>
    <w:r>
      <w:rPr>
        <w:rFonts w:ascii="Arial" w:hAnsi="Arial" w:cs="Arial"/>
        <w:sz w:val="16"/>
      </w:rPr>
      <w:fldChar w:fldCharType="end"/>
    </w:r>
    <w:r>
      <w:rPr>
        <w:rFonts w:ascii="Arial" w:hAnsi="Arial" w:cs="Arial"/>
        <w:sz w:val="16"/>
      </w:rPr>
      <w:tab/>
    </w:r>
    <w:r>
      <w:rPr>
        <w:rFonts w:ascii="Arial" w:hAnsi="Arial" w:cs="Arial"/>
        <w:sz w:val="16"/>
      </w:rPr>
      <w:tab/>
      <w:t xml:space="preserve">EUMeddelelseAEOIModtag Side </w:t>
    </w:r>
    <w:r>
      <w:rPr>
        <w:rFonts w:ascii="Arial" w:hAnsi="Arial" w:cs="Arial"/>
        <w:sz w:val="16"/>
      </w:rPr>
      <w:fldChar w:fldCharType="begin"/>
    </w:r>
    <w:r>
      <w:rPr>
        <w:rFonts w:ascii="Arial" w:hAnsi="Arial" w:cs="Arial"/>
        <w:sz w:val="16"/>
      </w:rPr>
      <w:instrText xml:space="preserve"> PAGE  \* MERGEFORMAT </w:instrText>
    </w:r>
    <w:r>
      <w:rPr>
        <w:rFonts w:ascii="Arial" w:hAnsi="Arial" w:cs="Arial"/>
        <w:sz w:val="16"/>
      </w:rPr>
      <w:fldChar w:fldCharType="separate"/>
    </w:r>
    <w:r>
      <w:rPr>
        <w:rFonts w:ascii="Arial" w:hAnsi="Arial" w:cs="Arial"/>
        <w:noProof/>
        <w:sz w:val="16"/>
      </w:rPr>
      <w:t>3</w:t>
    </w:r>
    <w:r>
      <w:rPr>
        <w:rFonts w:ascii="Arial" w:hAnsi="Arial" w:cs="Arial"/>
        <w:sz w:val="16"/>
      </w:rPr>
      <w:fldChar w:fldCharType="end"/>
    </w:r>
    <w:r>
      <w:rPr>
        <w:rFonts w:ascii="Arial" w:hAnsi="Arial" w:cs="Arial"/>
        <w:sz w:val="16"/>
      </w:rPr>
      <w:t xml:space="preserve"> af </w:t>
    </w:r>
    <w:r>
      <w:rPr>
        <w:rFonts w:ascii="Arial" w:hAnsi="Arial" w:cs="Arial"/>
        <w:sz w:val="16"/>
      </w:rPr>
      <w:fldChar w:fldCharType="begin"/>
    </w:r>
    <w:r>
      <w:rPr>
        <w:rFonts w:ascii="Arial" w:hAnsi="Arial" w:cs="Arial"/>
        <w:sz w:val="16"/>
      </w:rPr>
      <w:instrText xml:space="preserve"> NUMPAGES  \* MERGEFORMAT </w:instrText>
    </w:r>
    <w:r>
      <w:rPr>
        <w:rFonts w:ascii="Arial" w:hAnsi="Arial" w:cs="Arial"/>
        <w:sz w:val="16"/>
      </w:rPr>
      <w:fldChar w:fldCharType="separate"/>
    </w:r>
    <w:r>
      <w:rPr>
        <w:rFonts w:ascii="Arial" w:hAnsi="Arial" w:cs="Arial"/>
        <w:noProof/>
        <w:sz w:val="16"/>
      </w:rPr>
      <w:t>3</w:t>
    </w:r>
    <w:r>
      <w:rPr>
        <w:rFonts w:ascii="Arial" w:hAnsi="Arial" w:cs="Arial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42DFD" w:rsidRDefault="00C42DFD">
    <w:pPr>
      <w:pStyle w:val="Sidefo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42DFD" w:rsidRDefault="00C42DFD" w:rsidP="00C42DFD">
      <w:pPr>
        <w:spacing w:line="240" w:lineRule="auto"/>
      </w:pPr>
      <w:r>
        <w:separator/>
      </w:r>
    </w:p>
  </w:footnote>
  <w:footnote w:type="continuationSeparator" w:id="0">
    <w:p w:rsidR="00C42DFD" w:rsidRDefault="00C42DFD" w:rsidP="00C42DF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42DFD" w:rsidRDefault="00C42DFD">
    <w:pPr>
      <w:pStyle w:val="Sidehoved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42DFD" w:rsidRPr="00C42DFD" w:rsidRDefault="00C42DFD" w:rsidP="00C42DFD">
    <w:pPr>
      <w:pStyle w:val="Sidehoved"/>
      <w:jc w:val="center"/>
      <w:rPr>
        <w:rFonts w:ascii="Arial" w:hAnsi="Arial" w:cs="Arial"/>
      </w:rPr>
    </w:pPr>
    <w:r w:rsidRPr="00C42DFD">
      <w:rPr>
        <w:rFonts w:ascii="Arial" w:hAnsi="Arial" w:cs="Arial"/>
      </w:rPr>
      <w:t>Servicebeskrivelse</w:t>
    </w:r>
  </w:p>
  <w:p w:rsidR="00C42DFD" w:rsidRPr="00C42DFD" w:rsidRDefault="00C42DFD" w:rsidP="00C42DFD">
    <w:pPr>
      <w:pStyle w:val="Sidehoved"/>
      <w:jc w:val="center"/>
      <w:rPr>
        <w:rFonts w:ascii="Arial" w:hAnsi="Arial" w:cs="Arial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42DFD" w:rsidRDefault="00C42DFD">
    <w:pPr>
      <w:pStyle w:val="Sidehoved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42DFD" w:rsidRPr="00C42DFD" w:rsidRDefault="00C42DFD" w:rsidP="00C42DFD">
    <w:pPr>
      <w:pStyle w:val="Sidehoved"/>
      <w:jc w:val="center"/>
      <w:rPr>
        <w:rFonts w:ascii="Arial" w:hAnsi="Arial" w:cs="Arial"/>
      </w:rPr>
    </w:pPr>
    <w:r w:rsidRPr="00C42DFD">
      <w:rPr>
        <w:rFonts w:ascii="Arial" w:hAnsi="Arial" w:cs="Arial"/>
      </w:rPr>
      <w:t>Datastrukturer</w:t>
    </w:r>
  </w:p>
  <w:p w:rsidR="00C42DFD" w:rsidRPr="00C42DFD" w:rsidRDefault="00C42DFD" w:rsidP="00C42DFD">
    <w:pPr>
      <w:pStyle w:val="Sidehoved"/>
      <w:jc w:val="center"/>
      <w:rPr>
        <w:rFonts w:ascii="Arial" w:hAnsi="Arial" w:cs="Arial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42DFD" w:rsidRDefault="00C42DFD" w:rsidP="00C42DFD">
    <w:pPr>
      <w:pStyle w:val="Sidehoved"/>
      <w:jc w:val="center"/>
      <w:rPr>
        <w:rFonts w:ascii="Arial" w:hAnsi="Arial" w:cs="Arial"/>
      </w:rPr>
    </w:pPr>
    <w:r>
      <w:rPr>
        <w:rFonts w:ascii="Arial" w:hAnsi="Arial" w:cs="Arial"/>
      </w:rPr>
      <w:t>Data elementer</w:t>
    </w:r>
  </w:p>
  <w:p w:rsidR="00C42DFD" w:rsidRPr="00C42DFD" w:rsidRDefault="00C42DFD" w:rsidP="00C42DFD">
    <w:pPr>
      <w:pStyle w:val="Sidehoved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5118BD"/>
    <w:multiLevelType w:val="multilevel"/>
    <w:tmpl w:val="20DAD35A"/>
    <w:lvl w:ilvl="0">
      <w:start w:val="1"/>
      <w:numFmt w:val="decimal"/>
      <w:lvlRestart w:val="0"/>
      <w:pStyle w:val="Overskrift1"/>
      <w:lvlText w:val="%1"/>
      <w:lvlJc w:val="left"/>
      <w:pPr>
        <w:tabs>
          <w:tab w:val="num" w:pos="567"/>
        </w:tabs>
        <w:ind w:left="0" w:firstLine="0"/>
      </w:pPr>
    </w:lvl>
    <w:lvl w:ilvl="1">
      <w:start w:val="1"/>
      <w:numFmt w:val="decimal"/>
      <w:pStyle w:val="Overskrift2"/>
      <w:lvlText w:val="%1.%2"/>
      <w:lvlJc w:val="left"/>
      <w:pPr>
        <w:tabs>
          <w:tab w:val="num" w:pos="680"/>
        </w:tabs>
        <w:ind w:left="794" w:hanging="794"/>
      </w:pPr>
    </w:lvl>
    <w:lvl w:ilvl="2">
      <w:start w:val="1"/>
      <w:numFmt w:val="decimal"/>
      <w:pStyle w:val="Overskrift3"/>
      <w:lvlText w:val="%1.%2.%3"/>
      <w:lvlJc w:val="left"/>
      <w:pPr>
        <w:tabs>
          <w:tab w:val="num" w:pos="680"/>
        </w:tabs>
        <w:ind w:left="794" w:hanging="794"/>
      </w:pPr>
    </w:lvl>
    <w:lvl w:ilvl="3">
      <w:start w:val="1"/>
      <w:numFmt w:val="decimal"/>
      <w:pStyle w:val="Overskrift4"/>
      <w:lvlText w:val="%1.%2.%3.%4"/>
      <w:lvlJc w:val="left"/>
      <w:pPr>
        <w:tabs>
          <w:tab w:val="num" w:pos="862"/>
        </w:tabs>
        <w:ind w:left="862" w:hanging="862"/>
      </w:pPr>
    </w:lvl>
    <w:lvl w:ilvl="4">
      <w:start w:val="1"/>
      <w:numFmt w:val="decimal"/>
      <w:pStyle w:val="Overskrift5"/>
      <w:lvlText w:val="%1.%2.%3.%4.%5"/>
      <w:lvlJc w:val="left"/>
      <w:pPr>
        <w:tabs>
          <w:tab w:val="num" w:pos="1009"/>
        </w:tabs>
        <w:ind w:left="1009" w:hanging="1009"/>
      </w:pPr>
    </w:lvl>
    <w:lvl w:ilvl="5">
      <w:start w:val="1"/>
      <w:numFmt w:val="decimal"/>
      <w:pStyle w:val="Overskrift6"/>
      <w:lvlText w:val="%1.%2.%3.%4.%5.%6"/>
      <w:lvlJc w:val="left"/>
      <w:pPr>
        <w:tabs>
          <w:tab w:val="num" w:pos="1151"/>
        </w:tabs>
        <w:ind w:left="1151" w:hanging="1151"/>
      </w:pPr>
    </w:lvl>
    <w:lvl w:ilvl="6">
      <w:start w:val="1"/>
      <w:numFmt w:val="decimal"/>
      <w:pStyle w:val="Overskrift7"/>
      <w:lvlText w:val="%1.%2.%3.%4.%5.%6.%7"/>
      <w:lvlJc w:val="left"/>
      <w:pPr>
        <w:tabs>
          <w:tab w:val="num" w:pos="1298"/>
        </w:tabs>
        <w:ind w:left="1298" w:hanging="1298"/>
      </w:pPr>
    </w:lvl>
    <w:lvl w:ilvl="7">
      <w:start w:val="1"/>
      <w:numFmt w:val="decimal"/>
      <w:pStyle w:val="Overskrift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Overskrift9"/>
      <w:lvlText w:val="%1.%2.%3.%4.%5.%6.%7.%8.%9"/>
      <w:lvlJc w:val="left"/>
      <w:pPr>
        <w:tabs>
          <w:tab w:val="num" w:pos="1582"/>
        </w:tabs>
        <w:ind w:left="1582" w:hanging="1582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2DFD"/>
    <w:rsid w:val="00C42DFD"/>
    <w:rsid w:val="00DC2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61A689-E3D8-48B6-A94B-5D5554872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/>
    </w:pPr>
  </w:style>
  <w:style w:type="paragraph" w:styleId="Overskrift1">
    <w:name w:val="heading 1"/>
    <w:basedOn w:val="Normal"/>
    <w:next w:val="Normal"/>
    <w:link w:val="Overskrift1Tegn"/>
    <w:autoRedefine/>
    <w:uiPriority w:val="9"/>
    <w:qFormat/>
    <w:rsid w:val="00C42DFD"/>
    <w:pPr>
      <w:keepLines/>
      <w:numPr>
        <w:numId w:val="1"/>
      </w:numPr>
      <w:spacing w:after="360" w:line="240" w:lineRule="auto"/>
      <w:outlineLvl w:val="0"/>
    </w:pPr>
    <w:rPr>
      <w:rFonts w:ascii="Arial" w:eastAsiaTheme="majorEastAsia" w:hAnsi="Arial" w:cs="Arial"/>
      <w:b/>
      <w:sz w:val="30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C42DFD"/>
    <w:pPr>
      <w:keepLines/>
      <w:numPr>
        <w:ilvl w:val="1"/>
        <w:numId w:val="1"/>
      </w:numPr>
      <w:suppressAutoHyphens/>
      <w:spacing w:line="240" w:lineRule="auto"/>
      <w:outlineLvl w:val="1"/>
    </w:pPr>
    <w:rPr>
      <w:rFonts w:ascii="Arial" w:eastAsiaTheme="majorEastAsia" w:hAnsi="Arial" w:cs="Arial"/>
      <w:b/>
      <w:sz w:val="24"/>
      <w:szCs w:val="26"/>
    </w:rPr>
  </w:style>
  <w:style w:type="paragraph" w:styleId="Overskrift3">
    <w:name w:val="heading 3"/>
    <w:basedOn w:val="Normal"/>
    <w:next w:val="Normal"/>
    <w:link w:val="Overskrift3Tegn"/>
    <w:autoRedefine/>
    <w:uiPriority w:val="9"/>
    <w:semiHidden/>
    <w:unhideWhenUsed/>
    <w:qFormat/>
    <w:rsid w:val="00C42DFD"/>
    <w:pPr>
      <w:keepNext/>
      <w:keepLines/>
      <w:numPr>
        <w:ilvl w:val="2"/>
        <w:numId w:val="1"/>
      </w:numPr>
      <w:spacing w:before="40"/>
      <w:outlineLvl w:val="2"/>
    </w:pPr>
    <w:rPr>
      <w:rFonts w:ascii="Arial" w:eastAsiaTheme="majorEastAsia" w:hAnsi="Arial" w:cs="Arial"/>
      <w:b/>
      <w:sz w:val="20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C42DFD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C42DFD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C42DFD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C42DFD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C42DFD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42DFD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C42DFD"/>
    <w:rPr>
      <w:rFonts w:ascii="Arial" w:eastAsiaTheme="majorEastAsia" w:hAnsi="Arial" w:cs="Arial"/>
      <w:b/>
      <w:sz w:val="30"/>
      <w:szCs w:val="32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C42DFD"/>
    <w:rPr>
      <w:rFonts w:ascii="Arial" w:eastAsiaTheme="majorEastAsia" w:hAnsi="Arial" w:cs="Arial"/>
      <w:b/>
      <w:sz w:val="24"/>
      <w:szCs w:val="26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C42DFD"/>
    <w:rPr>
      <w:rFonts w:ascii="Arial" w:eastAsiaTheme="majorEastAsia" w:hAnsi="Arial" w:cs="Arial"/>
      <w:b/>
      <w:sz w:val="20"/>
      <w:szCs w:val="24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C42DF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C42DFD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C42DFD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C42DFD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C42DF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C42DF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Overskrift1a">
    <w:name w:val="Overskrift 1a"/>
    <w:basedOn w:val="Normal"/>
    <w:next w:val="Normal"/>
    <w:link w:val="Overskrift1aTegn"/>
    <w:autoRedefine/>
    <w:rsid w:val="00C42DFD"/>
    <w:pPr>
      <w:keepLines/>
      <w:spacing w:after="360" w:line="240" w:lineRule="auto"/>
      <w:outlineLvl w:val="0"/>
    </w:pPr>
    <w:rPr>
      <w:rFonts w:ascii="Arial" w:hAnsi="Arial" w:cs="Arial"/>
      <w:b/>
      <w:sz w:val="30"/>
    </w:rPr>
  </w:style>
  <w:style w:type="character" w:customStyle="1" w:styleId="Overskrift1aTegn">
    <w:name w:val="Overskrift 1a Tegn"/>
    <w:basedOn w:val="Standardskrifttypeiafsnit"/>
    <w:link w:val="Overskrift1a"/>
    <w:rsid w:val="00C42DFD"/>
    <w:rPr>
      <w:rFonts w:ascii="Arial" w:hAnsi="Arial" w:cs="Arial"/>
      <w:b/>
      <w:sz w:val="30"/>
    </w:rPr>
  </w:style>
  <w:style w:type="paragraph" w:customStyle="1" w:styleId="Overskrift211pkt">
    <w:name w:val="Overskrift 2 + 11 pkt"/>
    <w:basedOn w:val="Normal"/>
    <w:link w:val="Overskrift211pktTegn"/>
    <w:rsid w:val="00C42DFD"/>
    <w:pPr>
      <w:keepLines/>
      <w:suppressAutoHyphens/>
      <w:spacing w:line="240" w:lineRule="auto"/>
      <w:ind w:left="794" w:hanging="794"/>
      <w:outlineLvl w:val="1"/>
    </w:pPr>
    <w:rPr>
      <w:rFonts w:ascii="Arial" w:hAnsi="Arial" w:cs="Arial"/>
      <w:b/>
    </w:rPr>
  </w:style>
  <w:style w:type="character" w:customStyle="1" w:styleId="Overskrift211pktTegn">
    <w:name w:val="Overskrift 2 + 11 pkt Tegn"/>
    <w:basedOn w:val="Standardskrifttypeiafsnit"/>
    <w:link w:val="Overskrift211pkt"/>
    <w:rsid w:val="00C42DFD"/>
    <w:rPr>
      <w:rFonts w:ascii="Arial" w:hAnsi="Arial" w:cs="Arial"/>
      <w:b/>
    </w:rPr>
  </w:style>
  <w:style w:type="paragraph" w:customStyle="1" w:styleId="Normal11">
    <w:name w:val="Normal + 11"/>
    <w:basedOn w:val="Normal"/>
    <w:link w:val="Normal11Tegn"/>
    <w:rsid w:val="00C42DFD"/>
    <w:pPr>
      <w:spacing w:line="240" w:lineRule="auto"/>
    </w:pPr>
    <w:rPr>
      <w:rFonts w:ascii="Times New Roman" w:hAnsi="Times New Roman" w:cs="Times New Roman"/>
    </w:rPr>
  </w:style>
  <w:style w:type="character" w:customStyle="1" w:styleId="Normal11Tegn">
    <w:name w:val="Normal + 11 Tegn"/>
    <w:basedOn w:val="Standardskrifttypeiafsnit"/>
    <w:link w:val="Normal11"/>
    <w:rsid w:val="00C42DFD"/>
    <w:rPr>
      <w:rFonts w:ascii="Times New Roman" w:hAnsi="Times New Roman" w:cs="Times New Roman"/>
    </w:rPr>
  </w:style>
  <w:style w:type="paragraph" w:styleId="Sidehoved">
    <w:name w:val="header"/>
    <w:basedOn w:val="Normal"/>
    <w:link w:val="SidehovedTegn"/>
    <w:uiPriority w:val="99"/>
    <w:unhideWhenUsed/>
    <w:rsid w:val="00C42DFD"/>
    <w:pPr>
      <w:tabs>
        <w:tab w:val="center" w:pos="4819"/>
        <w:tab w:val="right" w:pos="9638"/>
      </w:tabs>
      <w:spacing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C42DFD"/>
  </w:style>
  <w:style w:type="paragraph" w:styleId="Sidefod">
    <w:name w:val="footer"/>
    <w:basedOn w:val="Normal"/>
    <w:link w:val="SidefodTegn"/>
    <w:uiPriority w:val="99"/>
    <w:unhideWhenUsed/>
    <w:rsid w:val="00C42DFD"/>
    <w:pPr>
      <w:tabs>
        <w:tab w:val="center" w:pos="4819"/>
        <w:tab w:val="right" w:pos="9638"/>
      </w:tabs>
      <w:spacing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C42D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525</Words>
  <Characters>3203</Characters>
  <Application>Microsoft Office Word</Application>
  <DocSecurity>0</DocSecurity>
  <Lines>26</Lines>
  <Paragraphs>7</Paragraphs>
  <ScaleCrop>false</ScaleCrop>
  <Company>skat</Company>
  <LinksUpToDate>false</LinksUpToDate>
  <CharactersWithSpaces>3721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 Musiat</dc:creator>
  <cp:keywords/>
  <dc:description/>
  <cp:lastModifiedBy>Anders Musiat</cp:lastModifiedBy>
  <cp:revision>1</cp:revision>
  <dcterms:created xsi:type="dcterms:W3CDTF">2015-02-05T08:13:00Z</dcterms:created>
  <dcterms:modified xsi:type="dcterms:W3CDTF">2015-02-05T08:14:00Z</dcterms:modified>
</cp:coreProperties>
</file>