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📜 Vendor Charter – AI Integrations</w:t>
      </w:r>
    </w:p>
    <w:p>
      <w:r>
        <w:t>This document defines the governance framework for managing third-party vendors in AI and data system integrations. It ensures vendor contracts align with compliance, security, and performance objectives.</w:t>
      </w:r>
    </w:p>
    <w:p>
      <w:pPr>
        <w:pStyle w:val="Heading2"/>
      </w:pPr>
      <w:r>
        <w:t>1. Vendor Overview</w:t>
      </w:r>
    </w:p>
    <w:p>
      <w:r>
        <w:t>- **Vendor Name:** Databricks</w:t>
        <w:br/>
        <w:t>- **Service Type:** AI/ML Platform</w:t>
        <w:br/>
        <w:t>- **Contract Value:** $80,000 (Annual)</w:t>
        <w:br/>
        <w:t>- **Primary Contact:** vendor@databricks.com</w:t>
      </w:r>
    </w:p>
    <w:p>
      <w:pPr>
        <w:pStyle w:val="Heading2"/>
      </w:pPr>
      <w:r>
        <w:t>2. Service Level Agreements (SLA)</w:t>
      </w:r>
    </w:p>
    <w:p>
      <w:r>
        <w:t>- **Uptime:** 99.9%</w:t>
        <w:br/>
        <w:t>- **Support Response Time:** &lt; 2 hours (P1 issues)</w:t>
        <w:br/>
        <w:t>- **Data Retention:** 90 days minimum</w:t>
        <w:br/>
        <w:t>- **Disaster Recovery:** Full region redundancy</w:t>
      </w:r>
    </w:p>
    <w:p>
      <w:pPr>
        <w:pStyle w:val="Heading2"/>
      </w:pPr>
      <w:r>
        <w:t>3. Compliance &amp; Security</w:t>
      </w:r>
    </w:p>
    <w:p>
      <w:r>
        <w:t>- GDPR / HIPAA aligned</w:t>
        <w:br/>
        <w:t>- All API traffic encrypted (TLS 1.2+)</w:t>
        <w:br/>
        <w:t>- Data residency in approved regions only</w:t>
        <w:br/>
        <w:t>- Annual SOC 2 Type II report required</w:t>
      </w:r>
    </w:p>
    <w:p>
      <w:pPr>
        <w:pStyle w:val="Heading2"/>
      </w:pPr>
      <w:r>
        <w:t>4. Risk &amp; Escalation Process</w:t>
      </w:r>
    </w:p>
    <w:p>
      <w:r>
        <w:t>- Monthly performance reports reviewed by Director AI Ops.</w:t>
        <w:br/>
        <w:t>- SLA breaches &gt;3 consecutive months trigger executive review.</w:t>
        <w:br/>
        <w:t>- Exit clause: 30 days written notice with data export guarantee.</w:t>
      </w:r>
    </w:p>
    <w:p>
      <w:pPr>
        <w:pStyle w:val="Heading2"/>
      </w:pPr>
      <w:r>
        <w:t>5. Review &amp; Renewal</w:t>
      </w:r>
    </w:p>
    <w:p>
      <w:r>
        <w:t>Vendor performance and compliance posture reviewed semi-annually. Renewal decisions made based on cost efficiency, reliability, and audit readiness.</w:t>
      </w:r>
    </w:p>
    <w:p>
      <w:r>
        <w:br/>
        <w:t>**Maintained By:** Director of AI Integration &amp; Compliance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