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8BF1C" w14:textId="3177214F" w:rsidR="00D50D96" w:rsidRPr="00D50D96" w:rsidRDefault="00F84399" w:rsidP="00D50D96">
      <w:pPr>
        <w:rPr>
          <w:b/>
          <w:bCs/>
        </w:rPr>
      </w:pPr>
      <w:r>
        <w:rPr>
          <w:b/>
          <w:bCs/>
        </w:rPr>
        <w:t xml:space="preserve">Condensate Link - </w:t>
      </w:r>
      <w:r w:rsidR="00D50D96" w:rsidRPr="00D50D96">
        <w:rPr>
          <w:b/>
          <w:bCs/>
        </w:rPr>
        <w:t xml:space="preserve">Explaining the Invariance of G in an expanding cosmos </w:t>
      </w:r>
    </w:p>
    <w:p w14:paraId="6EB851F0" w14:textId="77777777" w:rsidR="00D50D96" w:rsidRPr="001C7740" w:rsidRDefault="00D50D96" w:rsidP="00D50D96">
      <w:r w:rsidRPr="00D50D96">
        <w:t xml:space="preserve"> Addressing the </w:t>
      </w:r>
      <w:r w:rsidRPr="001C7740">
        <w:t>primary criticism</w:t>
      </w:r>
      <w:r w:rsidRPr="00D50D96">
        <w:t>s</w:t>
      </w:r>
      <w:r w:rsidRPr="001C7740">
        <w:t xml:space="preserve"> of any variable-density vacuum model: if the universe is expanding, and the density of the substrate (</w:t>
      </w:r>
      <m:oMath>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m</m:t>
            </m:r>
          </m:sub>
        </m:sSub>
      </m:oMath>
      <w:r w:rsidRPr="001C7740">
        <w:t>) is decreasing, why does the Gravitational Constant (</w:t>
      </w:r>
      <m:oMath>
        <m:r>
          <w:rPr>
            <w:rFonts w:ascii="Cambria Math" w:hAnsi="Cambria Math"/>
          </w:rPr>
          <m:t>G</m:t>
        </m:r>
      </m:oMath>
      <w:r w:rsidRPr="001C7740">
        <w:t>) appear to be invariant over cosmic time?</w:t>
      </w:r>
    </w:p>
    <w:p w14:paraId="302C49F1" w14:textId="77777777" w:rsidR="00D50D96" w:rsidRPr="001C7740" w:rsidRDefault="00D50D96" w:rsidP="00D50D96">
      <w:r w:rsidRPr="001C7740">
        <w:t xml:space="preserve">The </w:t>
      </w:r>
      <w:r w:rsidRPr="001C7740">
        <w:rPr>
          <w:b/>
          <w:bCs/>
        </w:rPr>
        <w:t>Condensate Link</w:t>
      </w:r>
      <w:r w:rsidRPr="001C7740">
        <w:t xml:space="preserve"> resolves this through the </w:t>
      </w:r>
      <w:r w:rsidRPr="001C7740">
        <w:rPr>
          <w:b/>
          <w:bCs/>
        </w:rPr>
        <w:t>Phase-Steady Mechanism</w:t>
      </w:r>
      <w:r w:rsidRPr="001C7740">
        <w:t>. This proof demonstrates that as the universe expands, the substrate’s "stiffness" (</w:t>
      </w:r>
      <m:oMath>
        <m:r>
          <w:rPr>
            <w:rFonts w:ascii="Cambria Math" w:hAnsi="Cambria Math"/>
          </w:rPr>
          <m:t>β</m:t>
        </m:r>
      </m:oMath>
      <w:r w:rsidRPr="001C7740">
        <w:t>) and its "density" (</w:t>
      </w:r>
      <m:oMath>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m</m:t>
            </m:r>
          </m:sub>
        </m:sSub>
      </m:oMath>
      <w:r w:rsidRPr="001C7740">
        <w:t>) scale in a perfect 1:1 ratio, preserving the geometric coupling constant.</w:t>
      </w:r>
    </w:p>
    <w:p w14:paraId="2E1D6FCE" w14:textId="77777777" w:rsidR="00D50D96" w:rsidRPr="001C7740" w:rsidRDefault="00D50D96" w:rsidP="00D50D96">
      <w:r w:rsidRPr="001C7740">
        <w:pict w14:anchorId="4A0EEC68">
          <v:rect id="_x0000_i1026" style="width:0;height:1.5pt" o:hralign="center" o:hrstd="t" o:hr="t" fillcolor="#a0a0a0" stroked="f"/>
        </w:pict>
      </w:r>
    </w:p>
    <w:p w14:paraId="3A56EFBA" w14:textId="77777777" w:rsidR="00D50D96" w:rsidRPr="001C7740" w:rsidRDefault="00D50D96" w:rsidP="00D50D96">
      <w:pPr>
        <w:rPr>
          <w:b/>
          <w:bCs/>
        </w:rPr>
      </w:pPr>
      <w:r w:rsidRPr="001C7740">
        <w:rPr>
          <w:b/>
          <w:bCs/>
        </w:rPr>
        <w:t>Section 2 Proof: The Invariance of G via Phase-Steady Expansion</w:t>
      </w:r>
    </w:p>
    <w:p w14:paraId="34378DC2" w14:textId="77777777" w:rsidR="00D50D96" w:rsidRPr="001C7740" w:rsidRDefault="00D50D96" w:rsidP="00D50D96">
      <w:pPr>
        <w:rPr>
          <w:b/>
          <w:bCs/>
        </w:rPr>
      </w:pPr>
      <w:r w:rsidRPr="001C7740">
        <w:rPr>
          <w:b/>
          <w:bCs/>
        </w:rPr>
        <w:t>1. The Problem of Dilution</w:t>
      </w:r>
    </w:p>
    <w:p w14:paraId="5246277D" w14:textId="77777777" w:rsidR="00D50D96" w:rsidRPr="001C7740" w:rsidRDefault="00D50D96" w:rsidP="00D50D96">
      <w:r w:rsidRPr="001C7740">
        <w:t xml:space="preserve">In a standard expanding universe, the mass density of a substance typically dilutes as </w:t>
      </w:r>
      <m:oMath>
        <m:r>
          <w:rPr>
            <w:rFonts w:ascii="Cambria Math" w:hAnsi="Cambria Math"/>
          </w:rPr>
          <m:t>ρ</m:t>
        </m:r>
        <m:r>
          <m:rPr>
            <m:sty m:val="p"/>
          </m:rPr>
          <w:rPr>
            <w:rFonts w:ascii="Cambria Math" w:hAnsi="Cambria Math"/>
          </w:rPr>
          <m:t>∝</m:t>
        </m:r>
        <m:sSup>
          <m:sSupPr>
            <m:ctrlPr>
              <w:rPr>
                <w:rFonts w:ascii="Cambria Math" w:hAnsi="Cambria Math"/>
                <w:i/>
              </w:rPr>
            </m:ctrlPr>
          </m:sSupPr>
          <m:e>
            <m:r>
              <w:rPr>
                <w:rFonts w:ascii="Cambria Math" w:hAnsi="Cambria Math"/>
              </w:rPr>
              <m:t>a</m:t>
            </m:r>
            <m:ctrlPr>
              <w:rPr>
                <w:rFonts w:ascii="Cambria Math" w:hAnsi="Cambria Math"/>
              </w:rPr>
            </m:ctrlPr>
          </m:e>
          <m:sup>
            <m:r>
              <w:rPr>
                <w:rFonts w:ascii="Cambria Math" w:hAnsi="Cambria Math"/>
              </w:rPr>
              <m:t>-3</m:t>
            </m:r>
          </m:sup>
        </m:sSup>
      </m:oMath>
      <w:r w:rsidRPr="001C7740">
        <w:t xml:space="preserve"> (where </w:t>
      </w:r>
      <m:oMath>
        <m:r>
          <w:rPr>
            <w:rFonts w:ascii="Cambria Math" w:hAnsi="Cambria Math"/>
          </w:rPr>
          <m:t>a</m:t>
        </m:r>
      </m:oMath>
      <w:r w:rsidRPr="001C7740">
        <w:t xml:space="preserve"> is the scale factor). If </w:t>
      </w:r>
      <m:oMath>
        <m:r>
          <w:rPr>
            <w:rFonts w:ascii="Cambria Math" w:hAnsi="Cambria Math"/>
          </w:rPr>
          <m:t>G</m:t>
        </m:r>
        <m:r>
          <m:rPr>
            <m:sty m:val="p"/>
          </m:rPr>
          <w:rPr>
            <w:rFonts w:ascii="Cambria Math" w:hAnsi="Cambria Math"/>
          </w:rPr>
          <m:t>∝</m:t>
        </m:r>
        <m:sSup>
          <m:sSupPr>
            <m:ctrlPr>
              <w:rPr>
                <w:rFonts w:ascii="Cambria Math" w:hAnsi="Cambria Math"/>
                <w:i/>
              </w:rPr>
            </m:ctrlPr>
          </m:sSupPr>
          <m:e>
            <m:r>
              <w:rPr>
                <w:rFonts w:ascii="Cambria Math" w:hAnsi="Cambria Math"/>
              </w:rPr>
              <m:t>c</m:t>
            </m:r>
            <m:ctrlPr>
              <w:rPr>
                <w:rFonts w:ascii="Cambria Math" w:hAnsi="Cambria Math"/>
              </w:rPr>
            </m:ctrlPr>
          </m:e>
          <m:sup>
            <m:r>
              <w:rPr>
                <w:rFonts w:ascii="Cambria Math" w:hAnsi="Cambria Math"/>
              </w:rPr>
              <m:t>2</m:t>
            </m:r>
          </m:sup>
        </m:sSup>
        <m:r>
          <m:rPr>
            <m:lit/>
          </m:rP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m</m:t>
            </m:r>
          </m:sub>
        </m:sSub>
      </m:oMath>
      <w:r w:rsidRPr="001C7740">
        <w:t xml:space="preserve">, a decreasing </w:t>
      </w:r>
      <m:oMath>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m</m:t>
            </m:r>
          </m:sub>
        </m:sSub>
      </m:oMath>
      <w:r w:rsidRPr="001C7740">
        <w:t xml:space="preserve"> would imply a rapidly increasing </w:t>
      </w:r>
      <m:oMath>
        <m:r>
          <w:rPr>
            <w:rFonts w:ascii="Cambria Math" w:hAnsi="Cambria Math"/>
          </w:rPr>
          <m:t>G</m:t>
        </m:r>
      </m:oMath>
      <w:r w:rsidRPr="001C7740">
        <w:t>, which contradicts all astronomical observations of the last 13 billion years.</w:t>
      </w:r>
    </w:p>
    <w:p w14:paraId="6865C258" w14:textId="77777777" w:rsidR="00D50D96" w:rsidRPr="001C7740" w:rsidRDefault="00D50D96" w:rsidP="00D50D96">
      <w:pPr>
        <w:rPr>
          <w:b/>
          <w:bCs/>
        </w:rPr>
      </w:pPr>
      <w:r w:rsidRPr="001C7740">
        <w:rPr>
          <w:b/>
          <w:bCs/>
        </w:rPr>
        <w:t>2. The Solution: The Equation of State (</w:t>
      </w:r>
      <w:proofErr w:type="spellStart"/>
      <w:r w:rsidRPr="001C7740">
        <w:rPr>
          <w:b/>
          <w:bCs/>
        </w:rPr>
        <w:t>EoS</w:t>
      </w:r>
      <w:proofErr w:type="spellEnd"/>
      <w:r w:rsidRPr="001C7740">
        <w:rPr>
          <w:b/>
          <w:bCs/>
        </w:rPr>
        <w:t>) Balance</w:t>
      </w:r>
    </w:p>
    <w:p w14:paraId="22DDA54E" w14:textId="77777777" w:rsidR="00D50D96" w:rsidRPr="001C7740" w:rsidRDefault="00D50D96" w:rsidP="00D50D96">
      <w:r w:rsidRPr="001C7740">
        <w:t xml:space="preserve">In the </w:t>
      </w:r>
      <m:oMath>
        <m:sSup>
          <m:sSupPr>
            <m:ctrlPr>
              <w:rPr>
                <w:rFonts w:ascii="Cambria Math" w:hAnsi="Cambria Math"/>
                <w:i/>
              </w:rPr>
            </m:ctrlPr>
          </m:sSupPr>
          <m:e>
            <m:r>
              <w:rPr>
                <w:rFonts w:ascii="Cambria Math" w:hAnsi="Cambria Math"/>
              </w:rPr>
              <m:t>10</m:t>
            </m:r>
          </m:e>
          <m:sup>
            <m:r>
              <w:rPr>
                <w:rFonts w:ascii="Cambria Math" w:hAnsi="Cambria Math"/>
              </w:rPr>
              <m:t>-22</m:t>
            </m:r>
          </m:sup>
        </m:sSup>
      </m:oMath>
      <w:r w:rsidRPr="001C7740">
        <w:t xml:space="preserve"> eV condensate, the speed of light (</w:t>
      </w:r>
      <m:oMath>
        <m:r>
          <w:rPr>
            <w:rFonts w:ascii="Cambria Math" w:hAnsi="Cambria Math"/>
          </w:rPr>
          <m:t>c</m:t>
        </m:r>
      </m:oMath>
      <w:r w:rsidRPr="001C7740">
        <w:t>) is not a fixed background value but is defined by the substrate's properties:</w:t>
      </w:r>
    </w:p>
    <w:p w14:paraId="2C1B5410" w14:textId="5A1424E8" w:rsidR="00D50D96" w:rsidRPr="001C7740" w:rsidRDefault="00D50D96" w:rsidP="00D50D96">
      <m:oMathPara>
        <m:oMath>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β</m:t>
              </m:r>
              <m:ctrlPr>
                <w:rPr>
                  <w:rFonts w:ascii="Cambria Math" w:hAnsi="Cambria Math"/>
                  <w:i/>
                </w:rPr>
              </m:ctrlPr>
            </m:num>
            <m:den>
              <m:sSub>
                <m:sSubPr>
                  <m:ctrlPr>
                    <w:rPr>
                      <w:rFonts w:ascii="Cambria Math" w:hAnsi="Cambria Math"/>
                      <w:i/>
                    </w:rPr>
                  </m:ctrlPr>
                </m:sSubPr>
                <m:e>
                  <m:r>
                    <w:rPr>
                      <w:rFonts w:ascii="Cambria Math" w:hAnsi="Cambria Math"/>
                    </w:rPr>
                    <m:t>ρ</m:t>
                  </m:r>
                </m:e>
                <m:sub>
                  <m:r>
                    <w:rPr>
                      <w:rFonts w:ascii="Cambria Math" w:hAnsi="Cambria Math"/>
                    </w:rPr>
                    <m:t>m</m:t>
                  </m:r>
                </m:sub>
              </m:sSub>
              <m:ctrlPr>
                <w:rPr>
                  <w:rFonts w:ascii="Cambria Math" w:hAnsi="Cambria Math"/>
                  <w:i/>
                </w:rPr>
              </m:ctrlPr>
            </m:den>
          </m:f>
        </m:oMath>
      </m:oMathPara>
    </w:p>
    <w:p w14:paraId="2F74C287" w14:textId="51D8ADD9" w:rsidR="00D50D96" w:rsidRPr="001C7740" w:rsidRDefault="00D50D96" w:rsidP="00D50D96">
      <w:r w:rsidRPr="001C7740">
        <w:t xml:space="preserve">For </w:t>
      </w:r>
      <m:oMath>
        <m:r>
          <w:rPr>
            <w:rFonts w:ascii="Cambria Math" w:hAnsi="Cambria Math"/>
          </w:rPr>
          <m:t>G</m:t>
        </m:r>
      </m:oMath>
      <w:r w:rsidRPr="001C7740">
        <w:t xml:space="preserve"> to remain constant, the ratio </w:t>
      </w:r>
      <m:oMath>
        <m:f>
          <m:fPr>
            <m:ctrlPr>
              <w:rPr>
                <w:rFonts w:ascii="Cambria Math" w:hAnsi="Cambria Math"/>
              </w:rPr>
            </m:ctrlPr>
          </m:fPr>
          <m:num>
            <m:sSup>
              <m:sSupPr>
                <m:ctrlPr>
                  <w:rPr>
                    <w:rFonts w:ascii="Cambria Math" w:hAnsi="Cambria Math"/>
                    <w:i/>
                  </w:rPr>
                </m:ctrlPr>
              </m:sSupPr>
              <m:e>
                <m:r>
                  <w:rPr>
                    <w:rFonts w:ascii="Cambria Math" w:hAnsi="Cambria Math"/>
                  </w:rPr>
                  <m:t>c</m:t>
                </m:r>
              </m:e>
              <m:sup>
                <m:r>
                  <w:rPr>
                    <w:rFonts w:ascii="Cambria Math" w:hAnsi="Cambria Math"/>
                  </w:rPr>
                  <m:t>4</m:t>
                </m:r>
              </m:sup>
            </m:sSup>
            <m:ctrlPr>
              <w:rPr>
                <w:rFonts w:ascii="Cambria Math" w:hAnsi="Cambria Math"/>
                <w:i/>
              </w:rPr>
            </m:ctrlPr>
          </m:num>
          <m:den>
            <m:r>
              <w:rPr>
                <w:rFonts w:ascii="Cambria Math" w:hAnsi="Cambria Math"/>
              </w:rPr>
              <m:t>β</m:t>
            </m:r>
            <m:ctrlPr>
              <w:rPr>
                <w:rFonts w:ascii="Cambria Math" w:hAnsi="Cambria Math"/>
                <w:i/>
              </w:rPr>
            </m:ctrlPr>
          </m:den>
        </m:f>
      </m:oMath>
      <w:r w:rsidRPr="001C7740">
        <w:t xml:space="preserve"> must remain invariant.</w:t>
      </w:r>
    </w:p>
    <w:p w14:paraId="2D579148" w14:textId="77777777" w:rsidR="00D50D96" w:rsidRPr="001C7740" w:rsidRDefault="00D50D96" w:rsidP="00D50D96">
      <w:r w:rsidRPr="001C7740">
        <w:rPr>
          <w:b/>
          <w:bCs/>
        </w:rPr>
        <w:t>Step A</w:t>
      </w:r>
      <w:r w:rsidRPr="001C7740">
        <w:t>: The Proportionality of Stiffness</w:t>
      </w:r>
    </w:p>
    <w:p w14:paraId="136D41A3" w14:textId="77777777" w:rsidR="00D50D96" w:rsidRPr="001C7740" w:rsidRDefault="00D50D96" w:rsidP="00D50D96">
      <w:r w:rsidRPr="001C7740">
        <w:t xml:space="preserve">In a phase-locked Bose-Einstein Condensate, the pressure </w:t>
      </w:r>
      <m:oMath>
        <m:r>
          <w:rPr>
            <w:rFonts w:ascii="Cambria Math" w:hAnsi="Cambria Math"/>
          </w:rPr>
          <m:t>P</m:t>
        </m:r>
      </m:oMath>
      <w:r w:rsidRPr="001C7740">
        <w:t xml:space="preserve"> and the resulting Bulk Modulus </w:t>
      </w:r>
      <m:oMath>
        <m:r>
          <w:rPr>
            <w:rFonts w:ascii="Cambria Math" w:hAnsi="Cambria Math"/>
          </w:rPr>
          <m:t>β</m:t>
        </m:r>
      </m:oMath>
      <w:r w:rsidRPr="001C7740">
        <w:t xml:space="preserve"> are functions of the interaction energy </w:t>
      </w:r>
      <m:oMath>
        <m:r>
          <w:rPr>
            <w:rFonts w:ascii="Cambria Math" w:hAnsi="Cambria Math"/>
          </w:rPr>
          <m:t>g</m:t>
        </m:r>
      </m:oMath>
      <w:r w:rsidRPr="001C7740">
        <w:t xml:space="preserve"> and the square of the density </w:t>
      </w:r>
      <m:oMath>
        <m:r>
          <w:rPr>
            <w:rFonts w:ascii="Cambria Math" w:hAnsi="Cambria Math"/>
          </w:rPr>
          <m:t>n</m:t>
        </m:r>
      </m:oMath>
      <w:r w:rsidRPr="001C7740">
        <w:t>:</w:t>
      </w:r>
    </w:p>
    <w:p w14:paraId="617BD2D2" w14:textId="77777777" w:rsidR="00D50D96" w:rsidRPr="001C7740" w:rsidRDefault="00D50D96" w:rsidP="00D50D96">
      <m:oMathPara>
        <m:oMath>
          <m:r>
            <w:rPr>
              <w:rFonts w:ascii="Cambria Math" w:hAnsi="Cambria Math"/>
            </w:rPr>
            <m:t>β</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2</m:t>
              </m:r>
            </m:sup>
          </m:sSup>
        </m:oMath>
      </m:oMathPara>
    </w:p>
    <w:p w14:paraId="66539C80" w14:textId="77777777" w:rsidR="00D50D96" w:rsidRPr="001C7740" w:rsidRDefault="00D50D96" w:rsidP="00D50D96">
      <w:r w:rsidRPr="001C7740">
        <w:t xml:space="preserve">Since mass density </w:t>
      </w:r>
      <m:oMath>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m</m:t>
            </m:r>
          </m:sub>
        </m:sSub>
        <m:r>
          <w:rPr>
            <w:rFonts w:ascii="Cambria Math" w:hAnsi="Cambria Math"/>
          </w:rPr>
          <m:t>=m</m:t>
        </m:r>
        <m:r>
          <m:rPr>
            <m:sty m:val="p"/>
          </m:rPr>
          <w:rPr>
            <w:rFonts w:ascii="Cambria Math" w:hAnsi="Cambria Math"/>
          </w:rPr>
          <m:t>⋅</m:t>
        </m:r>
        <m:r>
          <w:rPr>
            <w:rFonts w:ascii="Cambria Math" w:hAnsi="Cambria Math"/>
          </w:rPr>
          <m:t>n</m:t>
        </m:r>
      </m:oMath>
      <w:r w:rsidRPr="001C7740">
        <w:t>, we can write:</w:t>
      </w:r>
    </w:p>
    <w:p w14:paraId="30A7CF04" w14:textId="77777777" w:rsidR="00D50D96" w:rsidRPr="001C7740" w:rsidRDefault="00D50D96" w:rsidP="00D50D96">
      <m:oMathPara>
        <m:oMath>
          <m:r>
            <w:rPr>
              <w:rFonts w:ascii="Cambria Math" w:hAnsi="Cambria Math"/>
            </w:rPr>
            <m:t>β</m:t>
          </m:r>
          <m:r>
            <m:rPr>
              <m:sty m:val="p"/>
            </m:rPr>
            <w:rPr>
              <w:rFonts w:ascii="Cambria Math" w:hAnsi="Cambria Math"/>
            </w:rPr>
            <m:t>∝</m:t>
          </m:r>
          <m:sSubSup>
            <m:sSubSupPr>
              <m:ctrlPr>
                <w:rPr>
                  <w:rFonts w:ascii="Cambria Math" w:hAnsi="Cambria Math"/>
                  <w:i/>
                </w:rPr>
              </m:ctrlPr>
            </m:sSubSupPr>
            <m:e>
              <m:r>
                <w:rPr>
                  <w:rFonts w:ascii="Cambria Math" w:hAnsi="Cambria Math"/>
                </w:rPr>
                <m:t>ρ</m:t>
              </m:r>
              <m:ctrlPr>
                <w:rPr>
                  <w:rFonts w:ascii="Cambria Math" w:hAnsi="Cambria Math"/>
                </w:rPr>
              </m:ctrlPr>
            </m:e>
            <m:sub>
              <m:r>
                <w:rPr>
                  <w:rFonts w:ascii="Cambria Math" w:hAnsi="Cambria Math"/>
                </w:rPr>
                <m:t>m</m:t>
              </m:r>
            </m:sub>
            <m:sup>
              <m:r>
                <w:rPr>
                  <w:rFonts w:ascii="Cambria Math" w:hAnsi="Cambria Math"/>
                </w:rPr>
                <m:t>2</m:t>
              </m:r>
            </m:sup>
          </m:sSubSup>
        </m:oMath>
      </m:oMathPara>
    </w:p>
    <w:p w14:paraId="30BD913D" w14:textId="77777777" w:rsidR="00D50D96" w:rsidRPr="001C7740" w:rsidRDefault="00D50D96" w:rsidP="00D50D96">
      <w:r w:rsidRPr="001C7740">
        <w:rPr>
          <w:b/>
          <w:bCs/>
        </w:rPr>
        <w:t>Step B</w:t>
      </w:r>
      <w:r w:rsidRPr="001C7740">
        <w:t>: The Scaling of c</w:t>
      </w:r>
    </w:p>
    <w:p w14:paraId="7379A141" w14:textId="77777777" w:rsidR="00D50D96" w:rsidRPr="001C7740" w:rsidRDefault="00D50D96" w:rsidP="00D50D96">
      <w:r w:rsidRPr="001C7740">
        <w:t xml:space="preserve">Substituting this scaling of </w:t>
      </w:r>
      <m:oMath>
        <m:r>
          <w:rPr>
            <w:rFonts w:ascii="Cambria Math" w:hAnsi="Cambria Math"/>
          </w:rPr>
          <m:t>β</m:t>
        </m:r>
      </m:oMath>
      <w:r w:rsidRPr="001C7740">
        <w:t xml:space="preserve"> back into the definition of the speed of light:</w:t>
      </w:r>
    </w:p>
    <w:p w14:paraId="1C2C417D" w14:textId="0092484F" w:rsidR="00D50D96" w:rsidRPr="001C7740" w:rsidRDefault="00D50D96" w:rsidP="00D50D96">
      <m:oMathPara>
        <m:oMath>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β</m:t>
              </m:r>
              <m:ctrlPr>
                <w:rPr>
                  <w:rFonts w:ascii="Cambria Math" w:hAnsi="Cambria Math"/>
                  <w:i/>
                </w:rPr>
              </m:ctrlPr>
            </m:num>
            <m:den>
              <m:sSub>
                <m:sSubPr>
                  <m:ctrlPr>
                    <w:rPr>
                      <w:rFonts w:ascii="Cambria Math" w:hAnsi="Cambria Math"/>
                      <w:i/>
                    </w:rPr>
                  </m:ctrlPr>
                </m:sSubPr>
                <m:e>
                  <m:r>
                    <w:rPr>
                      <w:rFonts w:ascii="Cambria Math" w:hAnsi="Cambria Math"/>
                    </w:rPr>
                    <m:t>ρ</m:t>
                  </m:r>
                </m:e>
                <m:sub>
                  <m:r>
                    <w:rPr>
                      <w:rFonts w:ascii="Cambria Math" w:hAnsi="Cambria Math"/>
                    </w:rPr>
                    <m:t>m</m:t>
                  </m:r>
                </m:sub>
              </m:sSub>
              <m:ctrlPr>
                <w:rPr>
                  <w:rFonts w:ascii="Cambria Math" w:hAnsi="Cambria Math"/>
                  <w:i/>
                </w:rPr>
              </m:ctrlPr>
            </m:den>
          </m:f>
          <m:r>
            <m:rPr>
              <m:sty m:val="p"/>
            </m:rP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ρ</m:t>
                  </m:r>
                </m:e>
                <m:sub>
                  <m:r>
                    <w:rPr>
                      <w:rFonts w:ascii="Cambria Math" w:hAnsi="Cambria Math"/>
                    </w:rPr>
                    <m:t>m</m:t>
                  </m:r>
                </m:sub>
                <m:sup>
                  <m:r>
                    <w:rPr>
                      <w:rFonts w:ascii="Cambria Math" w:hAnsi="Cambria Math"/>
                    </w:rPr>
                    <m:t>2</m:t>
                  </m:r>
                </m:sup>
              </m:sSubSup>
              <m:ctrlPr>
                <w:rPr>
                  <w:rFonts w:ascii="Cambria Math" w:hAnsi="Cambria Math"/>
                  <w:i/>
                </w:rPr>
              </m:ctrlPr>
            </m:num>
            <m:den>
              <m:sSub>
                <m:sSubPr>
                  <m:ctrlPr>
                    <w:rPr>
                      <w:rFonts w:ascii="Cambria Math" w:hAnsi="Cambria Math"/>
                      <w:i/>
                    </w:rPr>
                  </m:ctrlPr>
                </m:sSubPr>
                <m:e>
                  <m:r>
                    <w:rPr>
                      <w:rFonts w:ascii="Cambria Math" w:hAnsi="Cambria Math"/>
                    </w:rPr>
                    <m:t>ρ</m:t>
                  </m:r>
                </m:e>
                <m:sub>
                  <m:r>
                    <w:rPr>
                      <w:rFonts w:ascii="Cambria Math" w:hAnsi="Cambria Math"/>
                    </w:rPr>
                    <m:t>m</m:t>
                  </m:r>
                </m:sub>
              </m:sSub>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m</m:t>
              </m:r>
            </m:sub>
          </m:sSub>
        </m:oMath>
      </m:oMathPara>
    </w:p>
    <w:p w14:paraId="68D90A16" w14:textId="77777777" w:rsidR="00D50D96" w:rsidRPr="001C7740" w:rsidRDefault="00D50D96" w:rsidP="00D50D96">
      <w:r w:rsidRPr="001C7740">
        <w:lastRenderedPageBreak/>
        <w:t xml:space="preserve">This implies that </w:t>
      </w:r>
      <m:oMath>
        <m:sSup>
          <m:sSupPr>
            <m:ctrlPr>
              <w:rPr>
                <w:rFonts w:ascii="Cambria Math" w:hAnsi="Cambria Math"/>
                <w:i/>
              </w:rPr>
            </m:ctrlPr>
          </m:sSupPr>
          <m:e>
            <m:r>
              <w:rPr>
                <w:rFonts w:ascii="Cambria Math" w:hAnsi="Cambria Math"/>
              </w:rPr>
              <m:t>c</m:t>
            </m:r>
          </m:e>
          <m:sup>
            <m:r>
              <w:rPr>
                <w:rFonts w:ascii="Cambria Math" w:hAnsi="Cambria Math"/>
              </w:rPr>
              <m:t>2</m:t>
            </m:r>
          </m:sup>
        </m:sSup>
      </m:oMath>
      <w:r w:rsidRPr="001C7740">
        <w:t xml:space="preserve"> scales linearly with the density of the substrate.</w:t>
      </w:r>
    </w:p>
    <w:p w14:paraId="6964D83D" w14:textId="77777777" w:rsidR="00D50D96" w:rsidRPr="001C7740" w:rsidRDefault="00D50D96" w:rsidP="00D50D96">
      <w:pPr>
        <w:rPr>
          <w:b/>
          <w:bCs/>
        </w:rPr>
      </w:pPr>
      <w:r w:rsidRPr="001C7740">
        <w:rPr>
          <w:b/>
          <w:bCs/>
        </w:rPr>
        <w:t>3. The Cancellation of Expansion Effects</w:t>
      </w:r>
    </w:p>
    <w:p w14:paraId="5CC88BBA" w14:textId="77777777" w:rsidR="00D50D96" w:rsidRPr="001C7740" w:rsidRDefault="00D50D96" w:rsidP="00D50D96">
      <w:r w:rsidRPr="001C7740">
        <w:t xml:space="preserve">We now substitute these scaling relations into our derived formula for </w:t>
      </w:r>
      <m:oMath>
        <m:r>
          <w:rPr>
            <w:rFonts w:ascii="Cambria Math" w:hAnsi="Cambria Math"/>
          </w:rPr>
          <m:t>G</m:t>
        </m:r>
      </m:oMath>
      <w:r w:rsidRPr="001C7740">
        <w:t>:</w:t>
      </w:r>
    </w:p>
    <w:p w14:paraId="14A54A2C" w14:textId="06ECB673" w:rsidR="00D50D96" w:rsidRPr="001C7740" w:rsidRDefault="00D50D96" w:rsidP="00D50D96">
      <m:oMathPara>
        <m:oMath>
          <m:r>
            <w:rPr>
              <w:rFonts w:ascii="Cambria Math" w:hAnsi="Cambria Math"/>
            </w:rPr>
            <m:t>G=</m:t>
          </m:r>
          <m:f>
            <m:fPr>
              <m:ctrlPr>
                <w:rPr>
                  <w:rFonts w:ascii="Cambria Math" w:hAnsi="Cambria Math"/>
                </w:rPr>
              </m:ctrlPr>
            </m:fPr>
            <m:num>
              <m:sSup>
                <m:sSupPr>
                  <m:ctrlPr>
                    <w:rPr>
                      <w:rFonts w:ascii="Cambria Math" w:hAnsi="Cambria Math"/>
                      <w:i/>
                    </w:rPr>
                  </m:ctrlPr>
                </m:sSupPr>
                <m:e>
                  <m:r>
                    <w:rPr>
                      <w:rFonts w:ascii="Cambria Math" w:hAnsi="Cambria Math"/>
                    </w:rPr>
                    <m:t>c</m:t>
                  </m:r>
                </m:e>
                <m:sup>
                  <m:r>
                    <w:rPr>
                      <w:rFonts w:ascii="Cambria Math" w:hAnsi="Cambria Math"/>
                    </w:rPr>
                    <m:t>2</m:t>
                  </m:r>
                </m:sup>
              </m:sSup>
              <m:ctrlPr>
                <w:rPr>
                  <w:rFonts w:ascii="Cambria Math" w:hAnsi="Cambria Math"/>
                  <w:i/>
                </w:rPr>
              </m:ctrlPr>
            </m:num>
            <m:den>
              <m:r>
                <w:rPr>
                  <w:rFonts w:ascii="Cambria Math" w:hAnsi="Cambria Math"/>
                </w:rPr>
                <m:t>8</m:t>
              </m:r>
              <m:r>
                <w:rPr>
                  <w:rFonts w:ascii="Cambria Math" w:hAnsi="Cambria Math"/>
                </w:rPr>
                <m:t>π</m:t>
              </m:r>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m</m:t>
                  </m:r>
                </m:sub>
              </m:sSub>
              <m:ctrlPr>
                <w:rPr>
                  <w:rFonts w:ascii="Cambria Math" w:hAnsi="Cambria Math"/>
                  <w:i/>
                </w:rPr>
              </m:ctrlPr>
            </m:den>
          </m:f>
        </m:oMath>
      </m:oMathPara>
    </w:p>
    <w:p w14:paraId="241B272B" w14:textId="77777777" w:rsidR="00D50D96" w:rsidRPr="001C7740" w:rsidRDefault="00D50D96" w:rsidP="00D50D96">
      <w:r w:rsidRPr="001C7740">
        <w:t xml:space="preserve">Substituting the proportionality </w:t>
      </w:r>
      <m:oMath>
        <m:sSup>
          <m:sSupPr>
            <m:ctrlPr>
              <w:rPr>
                <w:rFonts w:ascii="Cambria Math" w:hAnsi="Cambria Math"/>
                <w:i/>
              </w:rPr>
            </m:ctrlPr>
          </m:sSupPr>
          <m:e>
            <m:r>
              <w:rPr>
                <w:rFonts w:ascii="Cambria Math" w:hAnsi="Cambria Math"/>
              </w:rPr>
              <m:t>c</m:t>
            </m:r>
          </m:e>
          <m:sup>
            <m:r>
              <w:rPr>
                <w:rFonts w:ascii="Cambria Math" w:hAnsi="Cambria Math"/>
              </w:rPr>
              <m:t>2</m:t>
            </m:r>
          </m:sup>
        </m:sSup>
        <m:r>
          <m:rPr>
            <m:sty m:val="p"/>
          </m:rPr>
          <w:rPr>
            <w:rFonts w:ascii="Cambria Math" w:hAnsi="Cambria Math"/>
          </w:rPr>
          <m:t>∝</m:t>
        </m:r>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m</m:t>
            </m:r>
          </m:sub>
        </m:sSub>
      </m:oMath>
      <w:r w:rsidRPr="001C7740">
        <w:t>:</w:t>
      </w:r>
    </w:p>
    <w:p w14:paraId="40BA6467" w14:textId="422012A6" w:rsidR="00D50D96" w:rsidRPr="001C7740" w:rsidRDefault="00D50D96" w:rsidP="00D50D96">
      <m:oMathPara>
        <m:oMath>
          <m:r>
            <w:rPr>
              <w:rFonts w:ascii="Cambria Math" w:hAnsi="Cambria Math"/>
            </w:rPr>
            <m:t>G</m:t>
          </m:r>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ρ</m:t>
                  </m:r>
                </m:e>
                <m:sub>
                  <m:r>
                    <w:rPr>
                      <w:rFonts w:ascii="Cambria Math" w:hAnsi="Cambria Math"/>
                    </w:rPr>
                    <m:t>m</m:t>
                  </m:r>
                </m:sub>
              </m:sSub>
              <m:ctrlPr>
                <w:rPr>
                  <w:rFonts w:ascii="Cambria Math" w:hAnsi="Cambria Math"/>
                  <w:i/>
                </w:rPr>
              </m:ctrlPr>
            </m:num>
            <m:den>
              <m:sSub>
                <m:sSubPr>
                  <m:ctrlPr>
                    <w:rPr>
                      <w:rFonts w:ascii="Cambria Math" w:hAnsi="Cambria Math"/>
                      <w:i/>
                    </w:rPr>
                  </m:ctrlPr>
                </m:sSubPr>
                <m:e>
                  <m:r>
                    <w:rPr>
                      <w:rFonts w:ascii="Cambria Math" w:hAnsi="Cambria Math"/>
                    </w:rPr>
                    <m:t>ρ</m:t>
                  </m:r>
                </m:e>
                <m:sub>
                  <m:r>
                    <w:rPr>
                      <w:rFonts w:ascii="Cambria Math" w:hAnsi="Cambria Math"/>
                    </w:rPr>
                    <m:t>m</m:t>
                  </m:r>
                </m:sub>
              </m:sSub>
              <m:ctrlPr>
                <w:rPr>
                  <w:rFonts w:ascii="Cambria Math" w:hAnsi="Cambria Math"/>
                  <w:i/>
                </w:rPr>
              </m:ctrlPr>
            </m:den>
          </m:f>
          <m:r>
            <w:rPr>
              <w:rFonts w:ascii="Cambria Math" w:hAnsi="Cambria Math"/>
            </w:rPr>
            <m:t>=</m:t>
          </m:r>
          <m:r>
            <m:rPr>
              <m:nor/>
            </m:rPr>
            <w:rPr>
              <w:rFonts w:ascii="Cambria Math" w:hAnsi="Cambria Math"/>
            </w:rPr>
            <m:t>Constant</m:t>
          </m:r>
        </m:oMath>
      </m:oMathPara>
    </w:p>
    <w:p w14:paraId="49AA9DB5" w14:textId="77777777" w:rsidR="00D50D96" w:rsidRPr="001C7740" w:rsidRDefault="00D50D96" w:rsidP="00D50D96">
      <w:r w:rsidRPr="001C7740">
        <w:pict w14:anchorId="3990263A">
          <v:rect id="_x0000_i1027" style="width:0;height:1.5pt" o:hralign="center" o:hrstd="t" o:hr="t" fillcolor="#a0a0a0" stroked="f"/>
        </w:pict>
      </w:r>
    </w:p>
    <w:p w14:paraId="3170FDE0" w14:textId="77777777" w:rsidR="00D50D96" w:rsidRPr="001C7740" w:rsidRDefault="00D50D96" w:rsidP="00D50D96">
      <w:pPr>
        <w:rPr>
          <w:b/>
          <w:bCs/>
        </w:rPr>
      </w:pPr>
      <w:r w:rsidRPr="001C7740">
        <w:rPr>
          <w:b/>
          <w:bCs/>
        </w:rPr>
        <w:t>4. Physical Interpretation: The "Rigid Expansion"</w:t>
      </w:r>
    </w:p>
    <w:p w14:paraId="56C83B09" w14:textId="77777777" w:rsidR="00D50D96" w:rsidRPr="001C7740" w:rsidRDefault="00D50D96" w:rsidP="00D50D96">
      <w:r w:rsidRPr="001C7740">
        <w:t xml:space="preserve">The proof shows that as the universe expands and the density </w:t>
      </w:r>
      <m:oMath>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m</m:t>
            </m:r>
          </m:sub>
        </m:sSub>
      </m:oMath>
      <w:r w:rsidRPr="001C7740">
        <w:t xml:space="preserve"> drops:</w:t>
      </w:r>
    </w:p>
    <w:p w14:paraId="5A8DBF1B" w14:textId="77777777" w:rsidR="00D50D96" w:rsidRPr="001C7740" w:rsidRDefault="00D50D96" w:rsidP="00D50D96">
      <w:pPr>
        <w:numPr>
          <w:ilvl w:val="0"/>
          <w:numId w:val="1"/>
        </w:numPr>
      </w:pPr>
      <w:r w:rsidRPr="001C7740">
        <w:rPr>
          <w:b/>
          <w:bCs/>
        </w:rPr>
        <w:t>The Substrate Softens:</w:t>
      </w:r>
      <w:r w:rsidRPr="001C7740">
        <w:t xml:space="preserve"> The Bulk Modulus (</w:t>
      </w:r>
      <m:oMath>
        <m:r>
          <w:rPr>
            <w:rFonts w:ascii="Cambria Math" w:hAnsi="Cambria Math"/>
          </w:rPr>
          <m:t>β</m:t>
        </m:r>
      </m:oMath>
      <w:r w:rsidRPr="001C7740">
        <w:t>) drops because the particles are further apart.</w:t>
      </w:r>
    </w:p>
    <w:p w14:paraId="0AE94BCC" w14:textId="77777777" w:rsidR="00D50D96" w:rsidRPr="001C7740" w:rsidRDefault="00D50D96" w:rsidP="00D50D96">
      <w:pPr>
        <w:numPr>
          <w:ilvl w:val="0"/>
          <w:numId w:val="1"/>
        </w:numPr>
      </w:pPr>
      <w:r w:rsidRPr="001C7740">
        <w:rPr>
          <w:b/>
          <w:bCs/>
        </w:rPr>
        <w:t>Light Slows Down:</w:t>
      </w:r>
      <w:r w:rsidRPr="001C7740">
        <w:t xml:space="preserve"> The maximum propagation speed (</w:t>
      </w:r>
      <m:oMath>
        <m:r>
          <w:rPr>
            <w:rFonts w:ascii="Cambria Math" w:hAnsi="Cambria Math"/>
          </w:rPr>
          <m:t>c</m:t>
        </m:r>
      </m:oMath>
      <w:r w:rsidRPr="001C7740">
        <w:t>) decreases proportionally because the "tension" of the medium is lower.</w:t>
      </w:r>
    </w:p>
    <w:p w14:paraId="330D948C" w14:textId="77777777" w:rsidR="00D50D96" w:rsidRPr="001C7740" w:rsidRDefault="00D50D96" w:rsidP="00D50D96">
      <w:pPr>
        <w:numPr>
          <w:ilvl w:val="0"/>
          <w:numId w:val="1"/>
        </w:numPr>
      </w:pPr>
      <w:r w:rsidRPr="001C7740">
        <w:rPr>
          <w:b/>
          <w:bCs/>
        </w:rPr>
        <w:t>Gravity Remains Balanced:</w:t>
      </w:r>
      <w:r w:rsidRPr="001C7740">
        <w:t xml:space="preserve"> Because the "softness" of the space (the increase in </w:t>
      </w:r>
      <m:oMath>
        <m:r>
          <w:rPr>
            <w:rFonts w:ascii="Cambria Math" w:hAnsi="Cambria Math"/>
          </w:rPr>
          <m:t>G</m:t>
        </m:r>
      </m:oMath>
      <w:r w:rsidRPr="001C7740">
        <w:t>) is perfectly canceled out by the "slowing" of the signal (</w:t>
      </w:r>
      <m:oMath>
        <m:r>
          <w:rPr>
            <w:rFonts w:ascii="Cambria Math" w:hAnsi="Cambria Math"/>
          </w:rPr>
          <m:t>c</m:t>
        </m:r>
      </m:oMath>
      <w:r w:rsidRPr="001C7740">
        <w:t xml:space="preserve">), the </w:t>
      </w:r>
      <w:r w:rsidRPr="001C7740">
        <w:rPr>
          <w:b/>
          <w:bCs/>
        </w:rPr>
        <w:t>Geometric Coupling</w:t>
      </w:r>
      <w:r w:rsidRPr="001C7740">
        <w:t xml:space="preserve"> remains identical.</w:t>
      </w:r>
    </w:p>
    <w:p w14:paraId="2B08849F" w14:textId="77777777" w:rsidR="00D50D96" w:rsidRPr="001C7740" w:rsidRDefault="00D50D96" w:rsidP="00D50D96">
      <w:pPr>
        <w:rPr>
          <w:b/>
          <w:bCs/>
        </w:rPr>
      </w:pPr>
      <w:r w:rsidRPr="001C7740">
        <w:rPr>
          <w:b/>
          <w:bCs/>
        </w:rPr>
        <w:t>Conclusion of Section 0.2</w:t>
      </w:r>
    </w:p>
    <w:p w14:paraId="00D47F5D" w14:textId="77777777" w:rsidR="00D50D96" w:rsidRPr="001C7740" w:rsidRDefault="00D50D96" w:rsidP="00D50D96">
      <w:r w:rsidRPr="001C7740">
        <w:t xml:space="preserve">The Gravitational Constant </w:t>
      </w:r>
      <m:oMath>
        <m:r>
          <w:rPr>
            <w:rFonts w:ascii="Cambria Math" w:hAnsi="Cambria Math"/>
          </w:rPr>
          <m:t>G</m:t>
        </m:r>
      </m:oMath>
      <w:r w:rsidRPr="001C7740">
        <w:t xml:space="preserve"> is a </w:t>
      </w:r>
      <w:r w:rsidRPr="001C7740">
        <w:rPr>
          <w:b/>
          <w:bCs/>
        </w:rPr>
        <w:t>Dimensionless Ratio</w:t>
      </w:r>
      <w:r w:rsidRPr="001C7740">
        <w:t xml:space="preserve"> of the substrate's phase-properties. The reason we perceive </w:t>
      </w:r>
      <m:oMath>
        <m:r>
          <w:rPr>
            <w:rFonts w:ascii="Cambria Math" w:hAnsi="Cambria Math"/>
          </w:rPr>
          <m:t>G</m:t>
        </m:r>
      </m:oMath>
      <w:r w:rsidRPr="001C7740">
        <w:t xml:space="preserve"> as a constant is that we measure it using light and matter that are themselves part of the same Link. As the substrate expands, our "ruler" (Light) and our "stiffness" (Gravity) change at the exact same rate, leaving the relationship—and Einstein's Field Equations—invariant.</w:t>
      </w:r>
    </w:p>
    <w:p w14:paraId="7326BDB7" w14:textId="77777777" w:rsidR="00D50D96" w:rsidRPr="001C7740" w:rsidRDefault="00D50D96" w:rsidP="00D50D96">
      <w:pPr>
        <w:rPr>
          <w:color w:val="FF0000"/>
        </w:rPr>
      </w:pPr>
      <w:r w:rsidRPr="001C7740">
        <w:rPr>
          <w:color w:val="FF0000"/>
        </w:rPr>
        <w:pict w14:anchorId="6A174DBE">
          <v:rect id="_x0000_i1025" style="width:0;height:1.5pt" o:hralign="center" o:hrstd="t" o:hr="t" fillcolor="#a0a0a0" stroked="f"/>
        </w:pict>
      </w:r>
    </w:p>
    <w:p w14:paraId="304918C2" w14:textId="761EFAA7" w:rsidR="00D50D96" w:rsidRPr="001C7740" w:rsidRDefault="00D50D96" w:rsidP="00D50D96">
      <w:r w:rsidRPr="001C7740">
        <w:t xml:space="preserve">This proof completes the constitutional foundation of the coupling constants. </w:t>
      </w:r>
    </w:p>
    <w:p w14:paraId="3AADC598" w14:textId="77777777" w:rsidR="00C74AEE" w:rsidRDefault="00C74AEE"/>
    <w:sectPr w:rsidR="00C74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F56F3"/>
    <w:multiLevelType w:val="multilevel"/>
    <w:tmpl w:val="C6540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1292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540"/>
    <w:rsid w:val="002B7887"/>
    <w:rsid w:val="00811540"/>
    <w:rsid w:val="00A456BC"/>
    <w:rsid w:val="00B41F1A"/>
    <w:rsid w:val="00C74AEE"/>
    <w:rsid w:val="00C956AD"/>
    <w:rsid w:val="00D50D96"/>
    <w:rsid w:val="00F84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B0C3A"/>
  <w15:chartTrackingRefBased/>
  <w15:docId w15:val="{B75647D6-F8FA-4829-8CE8-1DB9EDFDB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D96"/>
  </w:style>
  <w:style w:type="paragraph" w:styleId="Heading1">
    <w:name w:val="heading 1"/>
    <w:basedOn w:val="Normal"/>
    <w:next w:val="Normal"/>
    <w:link w:val="Heading1Char"/>
    <w:uiPriority w:val="9"/>
    <w:qFormat/>
    <w:rsid w:val="00811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540"/>
    <w:rPr>
      <w:rFonts w:eastAsiaTheme="majorEastAsia" w:cstheme="majorBidi"/>
      <w:color w:val="272727" w:themeColor="text1" w:themeTint="D8"/>
    </w:rPr>
  </w:style>
  <w:style w:type="paragraph" w:styleId="Title">
    <w:name w:val="Title"/>
    <w:basedOn w:val="Normal"/>
    <w:next w:val="Normal"/>
    <w:link w:val="TitleChar"/>
    <w:uiPriority w:val="10"/>
    <w:qFormat/>
    <w:rsid w:val="00811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540"/>
    <w:pPr>
      <w:spacing w:before="160"/>
      <w:jc w:val="center"/>
    </w:pPr>
    <w:rPr>
      <w:i/>
      <w:iCs/>
      <w:color w:val="404040" w:themeColor="text1" w:themeTint="BF"/>
    </w:rPr>
  </w:style>
  <w:style w:type="character" w:customStyle="1" w:styleId="QuoteChar">
    <w:name w:val="Quote Char"/>
    <w:basedOn w:val="DefaultParagraphFont"/>
    <w:link w:val="Quote"/>
    <w:uiPriority w:val="29"/>
    <w:rsid w:val="00811540"/>
    <w:rPr>
      <w:i/>
      <w:iCs/>
      <w:color w:val="404040" w:themeColor="text1" w:themeTint="BF"/>
    </w:rPr>
  </w:style>
  <w:style w:type="paragraph" w:styleId="ListParagraph">
    <w:name w:val="List Paragraph"/>
    <w:basedOn w:val="Normal"/>
    <w:uiPriority w:val="34"/>
    <w:qFormat/>
    <w:rsid w:val="00811540"/>
    <w:pPr>
      <w:ind w:left="720"/>
      <w:contextualSpacing/>
    </w:pPr>
  </w:style>
  <w:style w:type="character" w:styleId="IntenseEmphasis">
    <w:name w:val="Intense Emphasis"/>
    <w:basedOn w:val="DefaultParagraphFont"/>
    <w:uiPriority w:val="21"/>
    <w:qFormat/>
    <w:rsid w:val="00811540"/>
    <w:rPr>
      <w:i/>
      <w:iCs/>
      <w:color w:val="0F4761" w:themeColor="accent1" w:themeShade="BF"/>
    </w:rPr>
  </w:style>
  <w:style w:type="paragraph" w:styleId="IntenseQuote">
    <w:name w:val="Intense Quote"/>
    <w:basedOn w:val="Normal"/>
    <w:next w:val="Normal"/>
    <w:link w:val="IntenseQuoteChar"/>
    <w:uiPriority w:val="30"/>
    <w:qFormat/>
    <w:rsid w:val="00811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540"/>
    <w:rPr>
      <w:i/>
      <w:iCs/>
      <w:color w:val="0F4761" w:themeColor="accent1" w:themeShade="BF"/>
    </w:rPr>
  </w:style>
  <w:style w:type="character" w:styleId="IntenseReference">
    <w:name w:val="Intense Reference"/>
    <w:basedOn w:val="DefaultParagraphFont"/>
    <w:uiPriority w:val="32"/>
    <w:qFormat/>
    <w:rsid w:val="008115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a61ff1b-bdde-47b0-83ea-21bd281745d3}" enabled="1" method="Standard" siteId="{a530807a-40d9-47ea-ad58-8e093f2f9f49}"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471</Words>
  <Characters>2530</Characters>
  <Application>Microsoft Office Word</Application>
  <DocSecurity>0</DocSecurity>
  <Lines>53</Lines>
  <Paragraphs>37</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Skavberg, Rob</dc:creator>
  <cp:keywords/>
  <dc:description/>
  <cp:lastModifiedBy>Skavberg, Rob</cp:lastModifiedBy>
  <cp:revision>5</cp:revision>
  <dcterms:created xsi:type="dcterms:W3CDTF">2026-01-19T21:10:00Z</dcterms:created>
  <dcterms:modified xsi:type="dcterms:W3CDTF">2026-01-19T21:11:00Z</dcterms:modified>
</cp:coreProperties>
</file>