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 Planner and Optimizer Concept</w:t>
      </w:r>
    </w:p>
    <w:p>
      <w:pPr>
        <w:pStyle w:val="Subtitle"/>
      </w:pPr>
      <w:r>
        <w:t>Research proposal and focused prototype scope    20 September 2026</w:t>
      </w:r>
    </w:p>
    <w:p>
      <w:r>
        <w:t>We propose a runtime planner that chooses how to complete the next agent operation using the information and workers already available. An operation is a bounded piece of work, such as explaining a test failure or inspecting a function. Before spending another model call, the planner checks whether an existing result, an existing worker, or a new scoped worker is the better choice.</w:t>
      </w:r>
    </w:p>
    <w:p>
      <w:r>
        <w:rPr>
          <w:b/>
        </w:rPr>
        <w:t xml:space="preserve">Goal. </w:t>
      </w:r>
      <w:r>
        <w:t>Choose the lowest estimated operation cost among feasible plans within the configured latency limit. Evaluate completed tasks at matched quality; evidence checks alone cannot guarantee a correct answer.</w:t>
      </w:r>
    </w:p>
    <w:p>
      <w:r>
        <w:t>The system sits inside an agent harness, where it can inspect operations and control prompt construction. The root model reasons about the task and integrates findings. The planner generates execution alternatives, the cost model estimates them, and the optimizer selects one. Shared memory supplies the evidence for those decisions.</w:t>
      </w:r>
    </w:p>
    <w:p>
      <w:pPr>
        <w:pStyle w:val="Heading2"/>
      </w:pPr>
      <w:r>
        <w:t>One plan combines three choices</w:t>
      </w:r>
    </w:p>
    <w:p>
      <w:r>
        <w:t>Each candidate specifies a worker, an evidence view, and an execution mode. The evidence view identifies the exact source versions and representations that enter the prompt. These choices must be priced together: reusing a worker may save preparation while carrying a large or outdated context.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267"/>
        <w:gridCol w:w="4608"/>
        <w:gridCol w:w="4118"/>
      </w:tblGrid>
      <w:tr>
        <w:trPr>
          <w:cantSplit/>
          <w:tblHeader/>
        </w:trPr>
        <w:tc>
          <w:tcPr>
            <w:tcW w:type="dxa" w:w="1267"/>
            <w:vAlign w:val="center"/>
            <w:tcMar>
              <w:top w:w="95" w:type="dxa"/>
              <w:bottom w:w="95" w:type="dxa"/>
              <w:left w:w="110" w:type="dxa"/>
              <w:right w:w="110" w:type="dxa"/>
            </w:tcMar>
            <w:shd w:fill="E8EFF5"/>
          </w:tcPr>
          <w:p>
            <w:pPr>
              <w:spacing w:after="20" w:line="247" w:lineRule="auto"/>
            </w:pPr>
            <w:r>
              <w:rPr>
                <w:b/>
                <w:sz w:val="21"/>
              </w:rPr>
              <w:t>Mode</w:t>
            </w:r>
          </w:p>
        </w:tc>
        <w:tc>
          <w:tcPr>
            <w:tcW w:type="dxa" w:w="4608"/>
            <w:vAlign w:val="center"/>
            <w:tcMar>
              <w:top w:w="95" w:type="dxa"/>
              <w:bottom w:w="95" w:type="dxa"/>
              <w:left w:w="110" w:type="dxa"/>
              <w:right w:w="110" w:type="dxa"/>
            </w:tcMar>
            <w:shd w:fill="E8EFF5"/>
          </w:tcPr>
          <w:p>
            <w:pPr>
              <w:spacing w:after="20" w:line="247" w:lineRule="auto"/>
            </w:pPr>
            <w:r>
              <w:rPr>
                <w:b/>
                <w:sz w:val="21"/>
              </w:rPr>
              <w:t>What happens</w:t>
            </w:r>
          </w:p>
        </w:tc>
        <w:tc>
          <w:tcPr>
            <w:tcW w:type="dxa" w:w="4118"/>
            <w:vAlign w:val="center"/>
            <w:tcMar>
              <w:top w:w="95" w:type="dxa"/>
              <w:bottom w:w="95" w:type="dxa"/>
              <w:left w:w="110" w:type="dxa"/>
              <w:right w:w="110" w:type="dxa"/>
            </w:tcMar>
            <w:shd w:fill="E8EFF5"/>
          </w:tcPr>
          <w:p>
            <w:pPr>
              <w:spacing w:after="20" w:line="247" w:lineRule="auto"/>
            </w:pPr>
            <w:r>
              <w:rPr>
                <w:b/>
                <w:sz w:val="21"/>
              </w:rPr>
              <w:t>Main condition</w:t>
            </w:r>
          </w:p>
        </w:tc>
      </w:tr>
      <w:tr>
        <w:trPr>
          <w:cantSplit/>
        </w:trPr>
        <w:tc>
          <w:tcPr>
            <w:tcW w:type="dxa" w:w="1267"/>
            <w:vAlign w:val="center"/>
            <w:tcMar>
              <w:top w:w="95" w:type="dxa"/>
              <w:bottom w:w="95" w:type="dxa"/>
              <w:left w:w="110" w:type="dxa"/>
              <w:right w:w="110" w:type="dxa"/>
            </w:tcMar>
          </w:tcPr>
          <w:p>
            <w:pPr>
              <w:spacing w:after="20" w:line="247" w:lineRule="auto"/>
            </w:pPr>
            <w:r>
              <w:rPr>
                <w:b w:val="0"/>
                <w:sz w:val="21"/>
              </w:rPr>
              <w:t>REUSE</w:t>
            </w:r>
          </w:p>
        </w:tc>
        <w:tc>
          <w:tcPr>
            <w:tcW w:type="dxa" w:w="4608"/>
            <w:vAlign w:val="center"/>
            <w:tcMar>
              <w:top w:w="95" w:type="dxa"/>
              <w:bottom w:w="95" w:type="dxa"/>
              <w:left w:w="110" w:type="dxa"/>
              <w:right w:w="110" w:type="dxa"/>
            </w:tcMar>
          </w:tcPr>
          <w:p>
            <w:pPr>
              <w:spacing w:after="20" w:line="247" w:lineRule="auto"/>
            </w:pPr>
            <w:r>
              <w:rPr>
                <w:b w:val="0"/>
                <w:sz w:val="21"/>
              </w:rPr>
              <w:t>Return an existing result without another worker model call.</w:t>
            </w:r>
          </w:p>
        </w:tc>
        <w:tc>
          <w:tcPr>
            <w:tcW w:type="dxa" w:w="4118"/>
            <w:vAlign w:val="center"/>
            <w:tcMar>
              <w:top w:w="95" w:type="dxa"/>
              <w:bottom w:w="95" w:type="dxa"/>
              <w:left w:w="110" w:type="dxa"/>
              <w:right w:w="110" w:type="dxa"/>
            </w:tcMar>
          </w:tcPr>
          <w:p>
            <w:pPr>
              <w:spacing w:after="20" w:line="247" w:lineRule="auto"/>
            </w:pPr>
            <w:r>
              <w:rPr>
                <w:b w:val="0"/>
                <w:sz w:val="21"/>
              </w:rPr>
              <w:t>An exact operation match with satisfied input and version requirements.</w:t>
            </w:r>
          </w:p>
        </w:tc>
      </w:tr>
      <w:tr>
        <w:trPr>
          <w:cantSplit/>
        </w:trPr>
        <w:tc>
          <w:tcPr>
            <w:tcW w:type="dxa" w:w="1267"/>
            <w:vAlign w:val="center"/>
            <w:tcMar>
              <w:top w:w="95" w:type="dxa"/>
              <w:bottom w:w="95" w:type="dxa"/>
              <w:left w:w="110" w:type="dxa"/>
              <w:right w:w="110" w:type="dxa"/>
            </w:tcMar>
          </w:tcPr>
          <w:p>
            <w:pPr>
              <w:spacing w:after="20" w:line="247" w:lineRule="auto"/>
            </w:pPr>
            <w:r>
              <w:rPr>
                <w:b w:val="0"/>
                <w:sz w:val="21"/>
              </w:rPr>
              <w:t>CONTINUE</w:t>
            </w:r>
          </w:p>
        </w:tc>
        <w:tc>
          <w:tcPr>
            <w:tcW w:type="dxa" w:w="4608"/>
            <w:vAlign w:val="center"/>
            <w:tcMar>
              <w:top w:w="95" w:type="dxa"/>
              <w:bottom w:w="95" w:type="dxa"/>
              <w:left w:w="110" w:type="dxa"/>
              <w:right w:w="110" w:type="dxa"/>
            </w:tcMar>
          </w:tcPr>
          <w:p>
            <w:pPr>
              <w:spacing w:after="20" w:line="247" w:lineRule="auto"/>
            </w:pPr>
            <w:r>
              <w:rPr>
                <w:b w:val="0"/>
                <w:sz w:val="21"/>
              </w:rPr>
              <w:t>Use the current worker or resume a prior worker with its saved context.</w:t>
            </w:r>
          </w:p>
        </w:tc>
        <w:tc>
          <w:tcPr>
            <w:tcW w:type="dxa" w:w="4118"/>
            <w:vAlign w:val="center"/>
            <w:tcMar>
              <w:top w:w="95" w:type="dxa"/>
              <w:bottom w:w="95" w:type="dxa"/>
              <w:left w:w="110" w:type="dxa"/>
              <w:right w:w="110" w:type="dxa"/>
            </w:tcMar>
          </w:tcPr>
          <w:p>
            <w:pPr>
              <w:spacing w:after="20" w:line="247" w:lineRule="auto"/>
            </w:pPr>
            <w:r>
              <w:rPr>
                <w:b w:val="0"/>
                <w:sz w:val="21"/>
              </w:rPr>
              <w:t>Its evidence and working state are applicable to the operation.</w:t>
            </w:r>
          </w:p>
        </w:tc>
      </w:tr>
      <w:tr>
        <w:trPr>
          <w:cantSplit/>
        </w:trPr>
        <w:tc>
          <w:tcPr>
            <w:tcW w:type="dxa" w:w="1267"/>
            <w:vAlign w:val="center"/>
            <w:tcMar>
              <w:top w:w="95" w:type="dxa"/>
              <w:bottom w:w="95" w:type="dxa"/>
              <w:left w:w="110" w:type="dxa"/>
              <w:right w:w="110" w:type="dxa"/>
            </w:tcMar>
          </w:tcPr>
          <w:p>
            <w:pPr>
              <w:spacing w:after="20" w:line="247" w:lineRule="auto"/>
            </w:pPr>
            <w:r>
              <w:rPr>
                <w:b w:val="0"/>
                <w:sz w:val="21"/>
              </w:rPr>
              <w:t>REPAIR</w:t>
            </w:r>
          </w:p>
        </w:tc>
        <w:tc>
          <w:tcPr>
            <w:tcW w:type="dxa" w:w="4608"/>
            <w:vAlign w:val="center"/>
            <w:tcMar>
              <w:top w:w="95" w:type="dxa"/>
              <w:bottom w:w="95" w:type="dxa"/>
              <w:left w:w="110" w:type="dxa"/>
              <w:right w:w="110" w:type="dxa"/>
            </w:tcMar>
          </w:tcPr>
          <w:p>
            <w:pPr>
              <w:spacing w:after="20" w:line="247" w:lineRule="auto"/>
            </w:pPr>
            <w:r>
              <w:rPr>
                <w:b w:val="0"/>
                <w:sz w:val="21"/>
              </w:rPr>
              <w:t>Rebuild from a valid checkpoint, refresh changed evidence, and redo affected work.</w:t>
            </w:r>
          </w:p>
        </w:tc>
        <w:tc>
          <w:tcPr>
            <w:tcW w:type="dxa" w:w="4118"/>
            <w:vAlign w:val="center"/>
            <w:tcMar>
              <w:top w:w="95" w:type="dxa"/>
              <w:bottom w:w="95" w:type="dxa"/>
              <w:left w:w="110" w:type="dxa"/>
              <w:right w:w="110" w:type="dxa"/>
            </w:tcMar>
          </w:tcPr>
          <w:p>
            <w:pPr>
              <w:spacing w:after="20" w:line="247" w:lineRule="auto"/>
            </w:pPr>
            <w:r>
              <w:rPr>
                <w:b w:val="0"/>
                <w:sz w:val="21"/>
              </w:rPr>
              <w:t>A bounded repair is possible and cheaper than starting afresh.</w:t>
            </w:r>
          </w:p>
        </w:tc>
      </w:tr>
      <w:tr>
        <w:trPr>
          <w:cantSplit/>
        </w:trPr>
        <w:tc>
          <w:tcPr>
            <w:tcW w:type="dxa" w:w="1267"/>
            <w:vAlign w:val="center"/>
            <w:tcMar>
              <w:top w:w="95" w:type="dxa"/>
              <w:bottom w:w="95" w:type="dxa"/>
              <w:left w:w="110" w:type="dxa"/>
              <w:right w:w="110" w:type="dxa"/>
            </w:tcMar>
          </w:tcPr>
          <w:p>
            <w:pPr>
              <w:spacing w:after="20" w:line="247" w:lineRule="auto"/>
            </w:pPr>
            <w:r>
              <w:rPr>
                <w:b w:val="0"/>
                <w:sz w:val="21"/>
              </w:rPr>
              <w:t>FRESH</w:t>
            </w:r>
          </w:p>
        </w:tc>
        <w:tc>
          <w:tcPr>
            <w:tcW w:type="dxa" w:w="4608"/>
            <w:vAlign w:val="center"/>
            <w:tcMar>
              <w:top w:w="95" w:type="dxa"/>
              <w:bottom w:w="95" w:type="dxa"/>
              <w:left w:w="110" w:type="dxa"/>
              <w:right w:w="110" w:type="dxa"/>
            </w:tcMar>
          </w:tcPr>
          <w:p>
            <w:pPr>
              <w:spacing w:after="20" w:line="247" w:lineRule="auto"/>
            </w:pPr>
            <w:r>
              <w:rPr>
                <w:b w:val="0"/>
                <w:sz w:val="21"/>
              </w:rPr>
              <w:t>Create a worker with a focused evidence view.</w:t>
            </w:r>
          </w:p>
        </w:tc>
        <w:tc>
          <w:tcPr>
            <w:tcW w:type="dxa" w:w="4118"/>
            <w:vAlign w:val="center"/>
            <w:tcMar>
              <w:top w:w="95" w:type="dxa"/>
              <w:bottom w:w="95" w:type="dxa"/>
              <w:left w:w="110" w:type="dxa"/>
              <w:right w:w="110" w:type="dxa"/>
            </w:tcMar>
          </w:tcPr>
          <w:p>
            <w:pPr>
              <w:spacing w:after="20" w:line="247" w:lineRule="auto"/>
            </w:pPr>
            <w:r>
              <w:rPr>
                <w:b w:val="0"/>
                <w:sz w:val="21"/>
              </w:rPr>
              <w:t>The selected evidence is sufficient for the assigned scope.</w:t>
            </w:r>
          </w:p>
        </w:tc>
      </w:tr>
    </w:tbl>
    <w:p>
      <w:pPr>
        <w:spacing w:after="0"/>
      </w:pPr>
    </w:p>
    <w:p>
      <w:r>
        <w:rPr>
          <w:b/>
        </w:rPr>
        <w:t xml:space="preserve">Three kinds of reuse. </w:t>
      </w:r>
      <w:r>
        <w:t>A saved answer can avoid reasoning; saved worker context preserves an execution history; a resident KV cache can avoid some input processing. These are different resources. A worker identity does not guarantee a cache hit, and a fresh worker can still share an eligible cached prefix.</w:t>
      </w:r>
    </w:p>
    <w:p>
      <w:pPr>
        <w:pStyle w:val="Heading1"/>
        <w:pageBreakBefore/>
      </w:pPr>
      <w:r>
        <w:t>How the planner makes a decision</w:t>
      </w:r>
    </w:p>
    <w:p>
      <w:r>
        <w:t>A lightweight check runs whenever a prompt is constructed. It keeps the current plan when nothing relevant has changed. New subtasks, tool requests or results, source changes, context pressure, and failures can trigger candidate evaluation. This check does not require a separate LLM call.</w:t>
      </w:r>
    </w:p>
    <w:p>
      <w:r>
        <w:rPr>
          <w:b/>
        </w:rPr>
        <w:t xml:space="preserve">1  Use the request already available. </w:t>
      </w:r>
      <w:r>
        <w:t>A tool call provides paths, patterns, and scope. A reader question provides the question the root was already going to ask. Do not add an LLM call merely to invent a retrieval query.</w:t>
      </w:r>
    </w:p>
    <w:p>
      <w:r>
        <w:rPr>
          <w:b/>
        </w:rPr>
        <w:t xml:space="preserve">2  Find plausible evidence. </w:t>
      </w:r>
      <w:r>
        <w:t>Use exact IDs, file paths, symbols, and versions first. For a natural-language question, start with inexpensive lexical search over indexed text and result descriptions. If these signals are weak, retain a broader view rather than assuming an irrelevant shortlist is sufficient.</w:t>
      </w:r>
    </w:p>
    <w:p>
      <w:r>
        <w:rPr>
          <w:b/>
        </w:rPr>
        <w:t xml:space="preserve">3  Identify relevant results and workers. </w:t>
      </w:r>
      <w:r>
        <w:t>The store maps evidence versions to results and calls that received them. Allow direct REUSE for an exact operation match: the same operation type, arguments or question, and satisfied input requirements. Similar questions or shared files nominate evidence candidates; they do not establish an answer match.</w:t>
      </w:r>
    </w:p>
    <w:p>
      <w:r>
        <w:rPr>
          <w:b/>
        </w:rPr>
        <w:t xml:space="preserve">4  Generate bounded alternatives. </w:t>
      </w:r>
      <w:r>
        <w:t>Instantiate applicable REUSE, CONTINUE, REPAIR, and FRESH plans from a small shortlist. Include the current execution as an option. Each plan names its evidence, preparation, expected calls, returned output, and required checks.</w:t>
      </w:r>
    </w:p>
    <w:p>
      <w:r>
        <w:rPr>
          <w:b/>
        </w:rPr>
        <w:t xml:space="preserve">5  Estimate and select. </w:t>
      </w:r>
      <w:r>
        <w:t>The cost model predicts cost and latency for each plan. The optimizer removes plans that violate known constraints and chooses the lowest estimated cost among the remainder. If no plan is feasible, request more evidence or report the budget limit.</w:t>
      </w:r>
    </w:p>
    <w:p>
      <w:r>
        <w:rPr>
          <w:b/>
        </w:rPr>
        <w:t xml:space="preserve">6  Execute and update. </w:t>
      </w:r>
      <w:r>
        <w:t>The manager executes the selected plan. The assembler fetches its selected evidence and renders the prompt. Save the actual inputs, outputs, usage, and outcome so later estimates can be corrected.</w:t>
      </w:r>
    </w:p>
    <w:p>
      <w:pPr>
        <w:pStyle w:val="Heading2"/>
      </w:pPr>
      <w:r>
        <w:t>Rank for relevance before comparing economics</w:t>
      </w:r>
    </w:p>
    <w:p>
      <w:r>
        <w:t>Evidence ranking answers which information is plausibly useful. The optimizer answers which execution plan uses that information economically. A warm cache must not make irrelevant evidence win. Begin with exact matches and lexical ranking; add a learned ranker only if measured retrieval failures justify it.</w:t>
      </w:r>
    </w:p>
    <w:p>
      <w:pPr>
        <w:pStyle w:val="Heading2"/>
      </w:pPr>
      <w:r>
        <w:t>Pages make the selected view reproducible</w:t>
      </w:r>
    </w:p>
    <w:p>
      <w:r>
        <w:t>A page is a logical evidence object, such as a function excerpt or a test observation. Give it an ID, source version, type, size, provenance, and content reference. Keep original content outside the active prompt. Start with full content, exact excerpts, existing results, and pointers; create summaries only when a selected plan pays for them.</w:t>
      </w:r>
    </w:p>
    <w:p>
      <w:r>
        <w:t>The planner passes references to the assembler, which loads the content. Continuing should preserve a compatible leading prefix; rebuilding a view can invalidate later cache reuse. A pointer supports retrieval but does not supply missing evidence. These pages are storage objects, not GPU KV blocks.</w:t>
      </w:r>
    </w:p>
    <w:p>
      <w:pPr>
        <w:pStyle w:val="Heading1"/>
        <w:pageBreakBefore/>
      </w:pPr>
      <w:r>
        <w:t>What the cost model predicts</w:t>
      </w:r>
    </w:p>
    <w:p>
      <w:r>
        <w:t>The first model estimates completion of the current operation, including returning a useful result to its parent. It does not claim to know the entire remaining task. Use the same endpoint and comparison horizon for every candidate, then update the estimate as execution reveals more work.</w:t>
      </w:r>
    </w:p>
    <w:p>
      <w:r>
        <w:t>Estimated plan cost = preparation + execution + parent integration and verification + expected additional work.</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33"/>
        <w:gridCol w:w="7661"/>
      </w:tblGrid>
      <w:tr>
        <w:trPr>
          <w:cantSplit/>
          <w:tblHeader/>
        </w:trPr>
        <w:tc>
          <w:tcPr>
            <w:tcW w:type="dxa" w:w="2333"/>
            <w:vAlign w:val="center"/>
            <w:tcMar>
              <w:top w:w="95" w:type="dxa"/>
              <w:bottom w:w="95" w:type="dxa"/>
              <w:left w:w="110" w:type="dxa"/>
              <w:right w:w="110" w:type="dxa"/>
            </w:tcMar>
            <w:shd w:fill="E8EFF5"/>
          </w:tcPr>
          <w:p>
            <w:pPr>
              <w:spacing w:after="20" w:line="247" w:lineRule="auto"/>
            </w:pPr>
            <w:r>
              <w:rPr>
                <w:b/>
                <w:sz w:val="21"/>
              </w:rPr>
              <w:t>Term</w:t>
            </w:r>
          </w:p>
        </w:tc>
        <w:tc>
          <w:tcPr>
            <w:tcW w:type="dxa" w:w="7661"/>
            <w:vAlign w:val="center"/>
            <w:tcMar>
              <w:top w:w="95" w:type="dxa"/>
              <w:bottom w:w="95" w:type="dxa"/>
              <w:left w:w="110" w:type="dxa"/>
              <w:right w:w="110" w:type="dxa"/>
            </w:tcMar>
            <w:shd w:fill="E8EFF5"/>
          </w:tcPr>
          <w:p>
            <w:pPr>
              <w:spacing w:after="20" w:line="247" w:lineRule="auto"/>
            </w:pPr>
            <w:r>
              <w:rPr>
                <w:b/>
                <w:sz w:val="21"/>
              </w:rPr>
              <w:t>What we include</w:t>
            </w:r>
          </w:p>
        </w:tc>
      </w:tr>
      <w:tr>
        <w:trPr>
          <w:cantSplit/>
        </w:trPr>
        <w:tc>
          <w:tcPr>
            <w:tcW w:type="dxa" w:w="2333"/>
            <w:vAlign w:val="center"/>
            <w:tcMar>
              <w:top w:w="95" w:type="dxa"/>
              <w:bottom w:w="95" w:type="dxa"/>
              <w:left w:w="110" w:type="dxa"/>
              <w:right w:w="110" w:type="dxa"/>
            </w:tcMar>
          </w:tcPr>
          <w:p>
            <w:pPr>
              <w:spacing w:after="20" w:line="247" w:lineRule="auto"/>
            </w:pPr>
            <w:r>
              <w:rPr>
                <w:b w:val="0"/>
                <w:sz w:val="21"/>
              </w:rPr>
              <w:t>Preparation</w:t>
            </w:r>
          </w:p>
        </w:tc>
        <w:tc>
          <w:tcPr>
            <w:tcW w:type="dxa" w:w="7661"/>
            <w:vAlign w:val="center"/>
            <w:tcMar>
              <w:top w:w="95" w:type="dxa"/>
              <w:bottom w:w="95" w:type="dxa"/>
              <w:left w:w="110" w:type="dxa"/>
              <w:right w:w="110" w:type="dxa"/>
            </w:tcMar>
          </w:tcPr>
          <w:p>
            <w:pPr>
              <w:spacing w:after="20" w:line="247" w:lineRule="auto"/>
            </w:pPr>
            <w:r>
              <w:rPr>
                <w:b w:val="0"/>
                <w:sz w:val="21"/>
              </w:rPr>
              <w:t>Evidence retrieval, prompt construction, and any new summary or transformation calls required by this plan.</w:t>
            </w:r>
          </w:p>
        </w:tc>
      </w:tr>
      <w:tr>
        <w:trPr>
          <w:cantSplit/>
        </w:trPr>
        <w:tc>
          <w:tcPr>
            <w:tcW w:type="dxa" w:w="2333"/>
            <w:vAlign w:val="center"/>
            <w:tcMar>
              <w:top w:w="95" w:type="dxa"/>
              <w:bottom w:w="95" w:type="dxa"/>
              <w:left w:w="110" w:type="dxa"/>
              <w:right w:w="110" w:type="dxa"/>
            </w:tcMar>
          </w:tcPr>
          <w:p>
            <w:pPr>
              <w:spacing w:after="20" w:line="247" w:lineRule="auto"/>
            </w:pPr>
            <w:r>
              <w:rPr>
                <w:b w:val="0"/>
                <w:sz w:val="21"/>
              </w:rPr>
              <w:t>Execution</w:t>
            </w:r>
          </w:p>
        </w:tc>
        <w:tc>
          <w:tcPr>
            <w:tcW w:type="dxa" w:w="7661"/>
            <w:vAlign w:val="center"/>
            <w:tcMar>
              <w:top w:w="95" w:type="dxa"/>
              <w:bottom w:w="95" w:type="dxa"/>
              <w:left w:w="110" w:type="dxa"/>
              <w:right w:w="110" w:type="dxa"/>
            </w:tcMar>
          </w:tcPr>
          <w:p>
            <w:pPr>
              <w:spacing w:after="20" w:line="247" w:lineRule="auto"/>
            </w:pPr>
            <w:r>
              <w:rPr>
                <w:b w:val="0"/>
                <w:sz w:val="21"/>
              </w:rPr>
              <w:t>All model attempts and tools needed to perform the operation, including repeated processing of retained input across calls.</w:t>
            </w:r>
          </w:p>
        </w:tc>
      </w:tr>
      <w:tr>
        <w:trPr>
          <w:cantSplit/>
        </w:trPr>
        <w:tc>
          <w:tcPr>
            <w:tcW w:type="dxa" w:w="2333"/>
            <w:vAlign w:val="center"/>
            <w:tcMar>
              <w:top w:w="95" w:type="dxa"/>
              <w:bottom w:w="95" w:type="dxa"/>
              <w:left w:w="110" w:type="dxa"/>
              <w:right w:w="110" w:type="dxa"/>
            </w:tcMar>
          </w:tcPr>
          <w:p>
            <w:pPr>
              <w:spacing w:after="20" w:line="247" w:lineRule="auto"/>
            </w:pPr>
            <w:r>
              <w:rPr>
                <w:b w:val="0"/>
                <w:sz w:val="21"/>
              </w:rPr>
              <w:t>Integration and verification</w:t>
            </w:r>
          </w:p>
        </w:tc>
        <w:tc>
          <w:tcPr>
            <w:tcW w:type="dxa" w:w="7661"/>
            <w:vAlign w:val="center"/>
            <w:tcMar>
              <w:top w:w="95" w:type="dxa"/>
              <w:bottom w:w="95" w:type="dxa"/>
              <w:left w:w="110" w:type="dxa"/>
              <w:right w:w="110" w:type="dxa"/>
            </w:tcMar>
          </w:tcPr>
          <w:p>
            <w:pPr>
              <w:spacing w:after="20" w:line="247" w:lineRule="auto"/>
            </w:pPr>
            <w:r>
              <w:rPr>
                <w:b w:val="0"/>
                <w:sz w:val="21"/>
              </w:rPr>
              <w:t>The parent work needed to consume a child result and check the proposed answer or change.</w:t>
            </w:r>
          </w:p>
        </w:tc>
      </w:tr>
      <w:tr>
        <w:trPr>
          <w:cantSplit/>
        </w:trPr>
        <w:tc>
          <w:tcPr>
            <w:tcW w:type="dxa" w:w="2333"/>
            <w:vAlign w:val="center"/>
            <w:tcMar>
              <w:top w:w="95" w:type="dxa"/>
              <w:bottom w:w="95" w:type="dxa"/>
              <w:left w:w="110" w:type="dxa"/>
              <w:right w:w="110" w:type="dxa"/>
            </w:tcMar>
          </w:tcPr>
          <w:p>
            <w:pPr>
              <w:spacing w:after="20" w:line="247" w:lineRule="auto"/>
            </w:pPr>
            <w:r>
              <w:rPr>
                <w:b w:val="0"/>
                <w:sz w:val="21"/>
              </w:rPr>
              <w:t>Expected additional work</w:t>
            </w:r>
          </w:p>
        </w:tc>
        <w:tc>
          <w:tcPr>
            <w:tcW w:type="dxa" w:w="7661"/>
            <w:vAlign w:val="center"/>
            <w:tcMar>
              <w:top w:w="95" w:type="dxa"/>
              <w:bottom w:w="95" w:type="dxa"/>
              <w:left w:w="110" w:type="dxa"/>
              <w:right w:w="110" w:type="dxa"/>
            </w:tcMar>
          </w:tcPr>
          <w:p>
            <w:pPr>
              <w:spacing w:after="20" w:line="247" w:lineRule="auto"/>
            </w:pPr>
            <w:r>
              <w:rPr>
                <w:b w:val="0"/>
                <w:sz w:val="21"/>
              </w:rPr>
              <w:t>Possible extra evidence requests, retries, repair, or fallback that the preceding terms have not already counted.</w:t>
            </w:r>
          </w:p>
        </w:tc>
      </w:tr>
    </w:tbl>
    <w:p>
      <w:pPr>
        <w:spacing w:after="0"/>
      </w:pPr>
    </w:p>
    <w:p>
      <w:pPr>
        <w:pStyle w:val="Heading2"/>
      </w:pPr>
      <w:r>
        <w:t>Estimate from observable quantities</w:t>
      </w:r>
    </w:p>
    <w:p>
      <w:r>
        <w:t>Use selected evidence sizes and the current context to estimate input tokens. Use measured profiles for similar operations to estimate output length, call count, and tool time. Estimate cached input only when the prompt prefix is compatible; calibrate the probability of a hit from observed usage. Unknown cache state remains uncertain.</w:t>
      </w:r>
    </w:p>
    <w:p>
      <w:r>
        <w:t>For additional work, begin with the measured frequency of an event multiplied by its measured incremental cost, grouped by operation and execution mode. For example, how often does a focused reader need another evidence request, and what does that request add? With little data, report a range or use a conservative fallback. The planner supplies the proposed steps; the estimator supplies their expected consequences.</w:t>
      </w:r>
    </w:p>
    <w:p>
      <w:pPr>
        <w:pStyle w:val="Heading2"/>
      </w:pPr>
      <w:r>
        <w:t>Separate predictions from accounting</w:t>
      </w:r>
    </w:p>
    <w:p>
      <w:r>
        <w:t>Actual API accounting uses disjoint billed categories: uncached input, cache writes, cache reads, and output, each at its applicable price. Normalize backend fields to prevent double charging. Count every actual attempt, including helpers, retries, and parent integration. Missing usage is unknown, not zero.</w:t>
      </w:r>
    </w:p>
    <w:p>
      <w:r>
        <w:t>For self-hosted inference, measure tokens, execution time, GPU use where observable, and any stated infrastructure rate separately. Fewer tokens or more cache hits do not automatically reduce the bill for an already reserved GPU.</w:t>
      </w:r>
    </w:p>
    <w:p>
      <w:pPr>
        <w:pStyle w:val="Heading2"/>
      </w:pPr>
      <w:r>
        <w:t>Latency and quality remain explicit</w:t>
      </w:r>
    </w:p>
    <w:p>
      <w:r>
        <w:t>Estimate database access, assembly, queueing, tools, and model execution. Parallel work contributes along the critical path; summing overlapping durations overstates elapsed time. Check the configured latency limit with an uncertainty margin, then measure actual end-to-end latency.</w:t>
      </w:r>
    </w:p>
    <w:p>
      <w:r>
        <w:t>Version, scope, tool, and context-window checks reject known infeasibility. They cannot certify semantic correctness. Task verification determines whether savings preserve quality. Record prediction errors and outcomes so a later learned estimator can improve the same selection interface.</w:t>
      </w:r>
    </w:p>
    <w:p>
      <w:pPr>
        <w:pStyle w:val="Heading1"/>
        <w:pageBreakBefore/>
      </w:pPr>
      <w:r>
        <w:t>How the four sources inform the proposal</w:t>
      </w:r>
    </w:p>
    <w:p>
      <w:r>
        <w:t>These sources contribute specific mechanisms and lessons. They do not need to become four subsystems, and their established ideas should not be presented as our novelty.</w:t>
      </w:r>
    </w:p>
    <w:p>
      <w:pPr>
        <w:pStyle w:val="Heading2"/>
      </w:pPr>
      <w:r>
        <w:t>Kalypso contributes online resource feedback</w:t>
      </w:r>
    </w:p>
    <w:p>
      <w:r>
        <w:t>Kalypso schedules work in a known relational operator graph. It uses estimated KV demand, admission budgets, and pipeline conditions to balance concurrency against preservation of reusable prefixes. Its controller responds to queue and resource state rather than asking an LLM what to schedule. [1]</w:t>
      </w:r>
    </w:p>
    <w:p>
      <w:r>
        <w:t>We borrow the control principle: observe execution state, predict consequences, make a bounded decision, and correct it from measurements. Among already ready agent operations, timely reuse may help. We do not import Kalypso’s GPU allocation algorithm into worker selection. Agent operations emerge during execution, and hosted APIs may not expose physical KV residency.</w:t>
      </w:r>
    </w:p>
    <w:p>
      <w:pPr>
        <w:pStyle w:val="Heading2"/>
      </w:pPr>
      <w:r>
        <w:t>ClawVM contributes explicit memory representations</w:t>
      </w:r>
    </w:p>
    <w:p>
      <w:r>
        <w:t>ClawVM organizes memory into typed pages with representations and minimum-fidelity constraints. Its selection already considers factors including recomputation cost; cost-aware pages alone are therefore not a new contribution. [2]</w:t>
      </w:r>
    </w:p>
    <w:p>
      <w:r>
        <w:t>We use identified evidence objects and explicit representation choices to make candidate prompts inspectable. Our planner also records source versions and prices any transformation it requests. The useful question is how an evidence view changes the cost of a worker plan. We need neither a general virtual-memory emulator nor several precomputed representations of every object in the first prototype.</w:t>
      </w:r>
    </w:p>
    <w:p>
      <w:pPr>
        <w:pStyle w:val="Heading2"/>
      </w:pPr>
      <w:r>
        <w:t>PARSER contributes scoped readers and a reasoning lead</w:t>
      </w:r>
    </w:p>
    <w:p>
      <w:r>
        <w:t>PARSER assigns document chunks to readers, repeatedly queries them, and lets a lead agent reason over their returned findings. Reusing a reader that already holds a chunk is already part of this approach, including opportunities for prefix-cache reuse. [3]</w:t>
      </w:r>
    </w:p>
    <w:p>
      <w:r>
        <w:t>This is one execution policy our planner can choose. The proposed extension is selective invocation: locate relevant evidence, consider applicable saved results or existing readers, and invoke only the workers justified by the operation. PARSER’s scatter-gather design queries its chunk readers; a selective approach must measure the evidence it misses. Selection and reuse alone are not proof of novelty.</w:t>
      </w:r>
    </w:p>
    <w:p>
      <w:pPr>
        <w:pStyle w:val="Heading2"/>
      </w:pPr>
      <w:r>
        <w:t>Uber contributes staged retrieval and critical path analysis</w:t>
      </w:r>
    </w:p>
    <w:p>
      <w:r>
        <w:t>Uber’s search pipeline separates information needed for ranking from the richer data needed for final presentation, and removes unnecessary dependencies and retrieval work. [4] This supports a natural rule here: retrieve candidate metadata first, then load the selected evidence. Existing indexed text can support retrieval without placing all candidate content into model prompts.</w:t>
      </w:r>
    </w:p>
    <w:p>
      <w:r>
        <w:t>Microbatching is optional. Uber discusses end-to-end microbatching as work in progress; its expected benefit should not be presented as a completed result. We should first profile retrieval and preparation. Processing small groups through a pipeline may reduce waiting, but extra reader groups can increase latency, and stopping early can miss evidence. This is separate from inference-engine batching.</w:t>
      </w:r>
    </w:p>
    <w:p>
      <w:pPr>
        <w:pStyle w:val="Heading1"/>
        <w:pageBreakBefore/>
      </w:pPr>
      <w:r>
        <w:t>A concrete example and a bounded first test</w:t>
      </w:r>
    </w:p>
    <w:p>
      <w:pPr>
        <w:pStyle w:val="Heading2"/>
      </w:pPr>
      <w:r>
        <w:t>Reusing a reader for a new question</w:t>
      </w:r>
    </w:p>
    <w:p>
      <w:r>
        <w:t>Worker W3 previously inspected parser.py at version 8. Its context and findings are saved. The root now asks why negative numbers fail. The existing question supplies a query; the planner does not need another model call to formulate one.</w:t>
      </w:r>
    </w:p>
    <w:p>
      <w:r>
        <w:t>Exact file and symbol matches locate the relevant page, W3, and its prior result. REUSE is eligible if the same question has a published answer with satisfied input requirements. If the earlier question concerned positive numbers, there is no exact match: CONTINUE lets W3 reason about the new question. FRESH gives another worker the needed function and test excerpt. The cost model compares these alternatives, including the root’s integration work.</w:t>
      </w:r>
    </w:p>
    <w:p>
      <w:r>
        <w:t>If the file is now version 9, the version-8 diagnosis is historical evidence. REPAIR may rebuild W3 from an unaffected checkpoint with version 9, then repeat the affected reasoning; otherwise FRESH is available. Appending a correction does not erase stale reasoning or repair KV states.</w:t>
      </w:r>
    </w:p>
    <w:p>
      <w:r>
        <w:t>A literal read_file request still returns the requested file content. A saved diagnosis cannot silently replace it. Asking a reader a new question is a reasoning operation, not a substitute for preserving tool semantics.</w:t>
      </w:r>
    </w:p>
    <w:p>
      <w:pPr>
        <w:pStyle w:val="Heading2"/>
      </w:pPr>
      <w:r>
        <w:t>Keep the first experiment small</w:t>
      </w:r>
    </w:p>
    <w:p>
      <w:r>
        <w:t>Use one model configuration, a root, and a small pool of scoped workers. Start with deterministic candidate generation, simple retrieval, versioned evidence, measured cost profiles, and the four execution modes. Admit REPAIR only when a valid reconstruction boundary is known. Keep a bounded number of reader calls in parallel; defer speculative prefetch and pipeline microbatching until measurements justify them.</w:t>
      </w:r>
    </w:p>
    <w:p>
      <w:r>
        <w:t>The research hypothesis is that jointly choosing worker, evidence view, and execution mode reduces total repeated work at matched task quality. Test against a fixed delegation policy and a policy that selects evidence and workers separately, using the same model, tools, tasks, and budgets. Report total task cost, wall-clock latency, verified success, model-call count, and backend-reported cache reuse. Count planner and memory overhead too.</w:t>
      </w:r>
    </w:p>
    <w:p>
      <w:r>
        <w:t>Only after the traces show consistent estimation errors should we add a learned predictor or policy. RL is a possible later method, not a prerequisite or an additional central claim. Cache routing, GPU scheduling, model architecture changes, and a general semantic knowledge graph remain outside this prototype.</w:t>
      </w:r>
    </w:p>
    <w:p>
      <w:pPr>
        <w:pStyle w:val="Heading2"/>
      </w:pPr>
      <w:r>
        <w:t>Sources</w:t>
      </w:r>
    </w:p>
    <w:p>
      <w:pPr>
        <w:spacing w:after="100"/>
      </w:pPr>
      <w:r>
        <w:rPr>
          <w:sz w:val="20"/>
        </w:rPr>
        <w:t xml:space="preserve">[1] </w:t>
      </w:r>
      <w:hyperlink r:id="rId11">
        <w:r>
          <w:rPr>
            <w:color w:val="245779"/>
            <w:sz w:val="20"/>
          </w:rPr>
          <w:t>Kalypso  Relational LLM Serving</w:t>
        </w:r>
      </w:hyperlink>
    </w:p>
    <w:p>
      <w:pPr>
        <w:spacing w:after="100"/>
      </w:pPr>
      <w:r>
        <w:rPr>
          <w:sz w:val="20"/>
        </w:rPr>
        <w:t xml:space="preserve">[2] </w:t>
      </w:r>
      <w:hyperlink r:id="rId12">
        <w:r>
          <w:rPr>
            <w:color w:val="245779"/>
            <w:sz w:val="20"/>
          </w:rPr>
          <w:t>ClawVM  Harness Managed Virtual Memory for Stateful Tool Using LLM Agents</w:t>
        </w:r>
      </w:hyperlink>
    </w:p>
    <w:p>
      <w:pPr>
        <w:spacing w:after="100"/>
      </w:pPr>
      <w:r>
        <w:rPr>
          <w:sz w:val="20"/>
        </w:rPr>
        <w:t xml:space="preserve">[3] </w:t>
      </w:r>
      <w:hyperlink r:id="rId13">
        <w:r>
          <w:rPr>
            <w:color w:val="245779"/>
            <w:sz w:val="20"/>
          </w:rPr>
          <w:t>PARSER  Read in Parallel Reason in Depth for Long Context LLM Agents</w:t>
        </w:r>
      </w:hyperlink>
    </w:p>
    <w:p>
      <w:pPr>
        <w:spacing w:after="100"/>
      </w:pPr>
      <w:r>
        <w:rPr>
          <w:sz w:val="20"/>
        </w:rPr>
        <w:t xml:space="preserve">[4] </w:t>
      </w:r>
      <w:hyperlink r:id="rId14">
        <w:r>
          <w:rPr>
            <w:color w:val="245779"/>
            <w:sz w:val="20"/>
          </w:rPr>
          <w:t>Uber Engineering  Halving the Time  How Uber Eats Rebuilt Its Search Pipeline</w:t>
        </w:r>
      </w:hyperlink>
    </w:p>
    <w:sectPr w:rsidR="00FC693F" w:rsidRPr="0006063C" w:rsidSect="00034616">
      <w:headerReference w:type="default" r:id="rId9"/>
      <w:footerReference w:type="default" r:id="rId10"/>
      <w:pgSz w:w="12240" w:h="15840"/>
      <w:pgMar w:top="936" w:right="1123" w:bottom="936"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Agent planner and optimizer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40"/>
    </w:pPr>
    <w:rPr>
      <w:rFonts w:ascii="Calibri" w:hAnsi="Calibri"/>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3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html/2607.23815v2" TargetMode="External"/><Relationship Id="rId12" Type="http://schemas.openxmlformats.org/officeDocument/2006/relationships/hyperlink" Target="https://arxiv.org/html/2604.10352v1" TargetMode="External"/><Relationship Id="rId13" Type="http://schemas.openxmlformats.org/officeDocument/2006/relationships/hyperlink" Target="https://cuhk-parser.github.io/" TargetMode="External"/><Relationship Id="rId14" Type="http://schemas.openxmlformats.org/officeDocument/2006/relationships/hyperlink" Target="https://www.uber.com/us/en/blog/uber-eats-search-pipe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Planner and Optimizer Concept</dc:title>
  <dc:subject>A focused research proposal for choosing workers and evidence</dc:subject>
  <dc:creator/>
  <cp:keywords>agent planning, cost model, evidence views, worker reuse</cp:keywords>
  <dc:description/>
  <cp:lastModifiedBy/>
  <cp:revision>1</cp:revision>
  <dcterms:created xsi:type="dcterms:W3CDTF">2013-12-23T23:15:00Z</dcterms:created>
  <dcterms:modified xsi:type="dcterms:W3CDTF">2013-12-23T23:15:00Z</dcterms:modified>
  <cp:category/>
</cp:coreProperties>
</file>