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F53E" w14:textId="77777777" w:rsidR="00B05103" w:rsidRDefault="00000000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 wp14:anchorId="0AEF54CE" wp14:editId="0AEF54CF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l="0" t="0" r="0" b="0"/>
            <wp:wrapNone/>
            <wp:docPr id="15070752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Story</w:t>
      </w:r>
    </w:p>
    <w:p w14:paraId="5FDF12EE" w14:textId="77777777" w:rsidR="00B05103" w:rsidRDefault="00B0510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5103" w14:paraId="070B8C8A" w14:textId="77777777">
        <w:trPr>
          <w:jc w:val="center"/>
        </w:trPr>
        <w:tc>
          <w:tcPr>
            <w:tcW w:w="4508" w:type="dxa"/>
          </w:tcPr>
          <w:p w14:paraId="0BE61246" w14:textId="77777777" w:rsidR="00B0510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457CACB" w14:textId="77777777" w:rsidR="00B05103" w:rsidRDefault="00001A6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August 2026</w:t>
            </w:r>
          </w:p>
        </w:tc>
      </w:tr>
      <w:tr w:rsidR="00B05103" w14:paraId="16599856" w14:textId="77777777">
        <w:trPr>
          <w:jc w:val="center"/>
        </w:trPr>
        <w:tc>
          <w:tcPr>
            <w:tcW w:w="4508" w:type="dxa"/>
          </w:tcPr>
          <w:p w14:paraId="611B45D9" w14:textId="77777777" w:rsidR="00B0510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E538D1E" w14:textId="77777777" w:rsidR="00B05103" w:rsidRDefault="00B05103">
            <w:pPr>
              <w:rPr>
                <w:rFonts w:ascii="Arial" w:eastAsia="Arial" w:hAnsi="Arial" w:cs="Arial"/>
              </w:rPr>
            </w:pPr>
          </w:p>
        </w:tc>
      </w:tr>
      <w:tr w:rsidR="00B05103" w14:paraId="4B11B806" w14:textId="77777777">
        <w:trPr>
          <w:jc w:val="center"/>
        </w:trPr>
        <w:tc>
          <w:tcPr>
            <w:tcW w:w="4508" w:type="dxa"/>
          </w:tcPr>
          <w:p w14:paraId="0635C608" w14:textId="77777777" w:rsidR="00B0510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7FAC984" w14:textId="77777777" w:rsidR="00B05103" w:rsidRDefault="00C956A2" w:rsidP="00001A68">
            <w:pPr>
              <w:tabs>
                <w:tab w:val="left" w:pos="1716"/>
              </w:tabs>
              <w:rPr>
                <w:rFonts w:ascii="Arial" w:eastAsia="Arial" w:hAnsi="Arial" w:cs="Arial"/>
              </w:rPr>
            </w:pPr>
            <w:r>
              <w:rPr>
                <w:sz w:val="21"/>
                <w:szCs w:val="21"/>
              </w:rPr>
              <w:t>Global AI Adoption in Education: A Comprehensive Global Performance Analysis</w:t>
            </w:r>
          </w:p>
        </w:tc>
      </w:tr>
      <w:tr w:rsidR="00B05103" w14:paraId="0BB52435" w14:textId="77777777">
        <w:trPr>
          <w:jc w:val="center"/>
        </w:trPr>
        <w:tc>
          <w:tcPr>
            <w:tcW w:w="4508" w:type="dxa"/>
          </w:tcPr>
          <w:p w14:paraId="01CDADAD" w14:textId="77777777" w:rsidR="00B0510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A8C841D" w14:textId="77777777" w:rsidR="00B05103" w:rsidRDefault="00B05103">
            <w:pPr>
              <w:rPr>
                <w:rFonts w:ascii="Arial" w:eastAsia="Arial" w:hAnsi="Arial" w:cs="Arial"/>
              </w:rPr>
            </w:pPr>
          </w:p>
        </w:tc>
      </w:tr>
    </w:tbl>
    <w:p w14:paraId="3F3ABD4D" w14:textId="77777777" w:rsidR="00B05103" w:rsidRDefault="00B0510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4B7D07B7" w14:textId="77777777" w:rsidR="00EA7354" w:rsidRDefault="00EA7354" w:rsidP="00EA735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1:</w:t>
      </w:r>
    </w:p>
    <w:p w14:paraId="169DE208" w14:textId="77777777" w:rsidR="009B5AD6" w:rsidRDefault="009B5AD6" w:rsidP="00EA735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Description</w:t>
      </w:r>
    </w:p>
    <w:p w14:paraId="41F50B9F" w14:textId="77777777" w:rsidR="009B5AD6" w:rsidRPr="009B5AD6" w:rsidRDefault="009B5AD6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The data story for this global AI adoption in education project is structured into multiple scenes, each focusing on a distinct aspect of AI in educational technology:</w:t>
      </w:r>
    </w:p>
    <w:p w14:paraId="70CBADDF" w14:textId="77777777" w:rsidR="009B5AD6" w:rsidRPr="009B5AD6" w:rsidRDefault="009B5AD6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1 - Introduction: Global AI in Education Challenge</w:t>
      </w:r>
    </w:p>
    <w:p w14:paraId="50DA3F6B" w14:textId="77777777" w:rsidR="009B5AD6" w:rsidRDefault="009B5AD6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Establishes the significance of understanding global AI adoption in education and the urgency of bridging educational technology gaps</w:t>
      </w:r>
    </w:p>
    <w:p w14:paraId="5FBFCC01" w14:textId="77777777" w:rsidR="009B5AD6" w:rsidRDefault="007C341D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rPr>
          <w:noProof/>
        </w:rPr>
        <w:drawing>
          <wp:inline distT="0" distB="0" distL="0" distR="0" wp14:anchorId="5E9BED5C" wp14:editId="25F4966A">
            <wp:extent cx="5731510" cy="2432685"/>
            <wp:effectExtent l="0" t="0" r="2540" b="5715"/>
            <wp:docPr id="30668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8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1DED" w14:textId="77777777" w:rsidR="000A4A4F" w:rsidRPr="000A4A4F" w:rsidRDefault="000A4A4F" w:rsidP="000A4A4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2 - Geographic Disparity: Regional AI Adoption Variations</w:t>
      </w:r>
    </w:p>
    <w:p w14:paraId="5842E596" w14:textId="77777777" w:rsidR="000A4A4F" w:rsidRPr="000A4A4F" w:rsidRDefault="000A4A4F" w:rsidP="000A4A4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Reveals significant geographic disparities in AI adoption across regions, with Oceania leading at 34.6% school adoption</w:t>
      </w:r>
    </w:p>
    <w:p w14:paraId="196E9931" w14:textId="77777777" w:rsidR="007C341D" w:rsidRDefault="00505A0C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rPr>
          <w:noProof/>
        </w:rPr>
        <w:lastRenderedPageBreak/>
        <w:drawing>
          <wp:inline distT="0" distB="0" distL="0" distR="0" wp14:anchorId="7D6674A2" wp14:editId="501B5FFD">
            <wp:extent cx="5731510" cy="2392045"/>
            <wp:effectExtent l="0" t="0" r="2540" b="8255"/>
            <wp:docPr id="95473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30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9D48" w14:textId="77777777" w:rsidR="00F772CE" w:rsidRPr="00F772CE" w:rsidRDefault="00F772CE" w:rsidP="00F772C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3 - Temporal Trends: AI Adoption Journey (2015-2026)</w:t>
      </w:r>
    </w:p>
    <w:p w14:paraId="30599AA4" w14:textId="77777777" w:rsidR="00F772CE" w:rsidRPr="00F772CE" w:rsidRDefault="00F772CE" w:rsidP="00F772C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Demonstrates how AI adoption has grown from minimal levels in 2015 (5%) to substantial levels by 2026 (60%), showing accelerating adoption trajectory</w:t>
      </w:r>
    </w:p>
    <w:p w14:paraId="788E43FE" w14:textId="77777777" w:rsidR="00505A0C" w:rsidRDefault="001D3CB2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rPr>
          <w:noProof/>
        </w:rPr>
        <w:drawing>
          <wp:inline distT="0" distB="0" distL="0" distR="0" wp14:anchorId="05B9FBD1" wp14:editId="1961DC4D">
            <wp:extent cx="5731510" cy="2440940"/>
            <wp:effectExtent l="0" t="0" r="2540" b="0"/>
            <wp:docPr id="19931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34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4CE1" w14:textId="77777777" w:rsidR="00D1792F" w:rsidRPr="00D1792F" w:rsidRDefault="00D1792F" w:rsidP="00D1792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4 - Tool Competition: Leading AI Platforms Market Share</w:t>
      </w:r>
    </w:p>
    <w:p w14:paraId="393912E7" w14:textId="77777777" w:rsidR="00D1792F" w:rsidRPr="00D1792F" w:rsidRDefault="00D1792F" w:rsidP="00D1792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Analyzes the competitive landscape of AI tools in education, showing nearly equal market distribution among ChatGPT (26.7%), Copilot (25.1%), Gemini (24.3%), and Khanmigo (24.0%)</w:t>
      </w:r>
    </w:p>
    <w:p w14:paraId="5D97067A" w14:textId="77777777" w:rsidR="001D3CB2" w:rsidRDefault="00D1792F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rPr>
          <w:noProof/>
        </w:rPr>
        <w:lastRenderedPageBreak/>
        <w:drawing>
          <wp:inline distT="0" distB="0" distL="0" distR="0" wp14:anchorId="68622D8D" wp14:editId="4F8FE7D7">
            <wp:extent cx="5731510" cy="2439035"/>
            <wp:effectExtent l="0" t="0" r="2540" b="0"/>
            <wp:docPr id="56860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06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5901" w14:textId="77777777" w:rsidR="00CE4330" w:rsidRPr="00CE4330" w:rsidRDefault="00CE4330" w:rsidP="00CE433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5 - Digital Equity: Urban-Rural Adoption Divide</w:t>
      </w:r>
    </w:p>
    <w:p w14:paraId="0AC3374F" w14:textId="77777777" w:rsidR="00CE4330" w:rsidRPr="00CE4330" w:rsidRDefault="00CE4330" w:rsidP="00CE433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Examines the persistent gap between urban (33.56%) and rural (21.60%) AI adoption, highlighting digital equity challenges</w:t>
      </w:r>
    </w:p>
    <w:p w14:paraId="7E2D9129" w14:textId="77777777" w:rsidR="00D1792F" w:rsidRDefault="00CE4330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rPr>
          <w:noProof/>
        </w:rPr>
        <w:drawing>
          <wp:inline distT="0" distB="0" distL="0" distR="0" wp14:anchorId="6062FD53" wp14:editId="387C780F">
            <wp:extent cx="5731510" cy="2421890"/>
            <wp:effectExtent l="0" t="0" r="2540" b="0"/>
            <wp:docPr id="143740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06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CC54" w14:textId="77777777" w:rsidR="001D5C81" w:rsidRPr="001D5C81" w:rsidRDefault="001D5C81" w:rsidP="001D5C8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6 - Stakeholder Engagement: Student vs Teacher Adoption Parity</w:t>
      </w:r>
    </w:p>
    <w:p w14:paraId="2C7984DD" w14:textId="77777777" w:rsidR="001D5C81" w:rsidRPr="001D5C81" w:rsidRDefault="001D5C81" w:rsidP="001D5C8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Explores similar adoption rates between students (30.99%) and teachers (29.91%), indicating balanced implementation strategies</w:t>
      </w:r>
    </w:p>
    <w:p w14:paraId="4CEADDAA" w14:textId="77777777" w:rsidR="00CE4330" w:rsidRDefault="001D5C81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rPr>
          <w:noProof/>
        </w:rPr>
        <w:lastRenderedPageBreak/>
        <w:drawing>
          <wp:inline distT="0" distB="0" distL="0" distR="0" wp14:anchorId="6A28560A" wp14:editId="19653CEB">
            <wp:extent cx="5731510" cy="2426335"/>
            <wp:effectExtent l="0" t="0" r="2540" b="0"/>
            <wp:docPr id="12336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11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196B" w14:textId="77777777" w:rsidR="00C642DC" w:rsidRPr="00C642DC" w:rsidRDefault="00C642DC" w:rsidP="00C642D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 w:rsidRPr="00C642DC">
        <w:t>Scene 7 - Conclusions and Recommendations: Strategic Pathways Forward</w:t>
      </w:r>
    </w:p>
    <w:p w14:paraId="5339F0BE" w14:textId="77777777" w:rsidR="00C642DC" w:rsidRPr="00C642DC" w:rsidRDefault="00C642DC" w:rsidP="00C642D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 w:rsidRPr="00C642DC">
        <w:t>Synthesizes findings into evidence-based recommendations for educational policymakers, institutional leaders, and technology vendors</w:t>
      </w:r>
    </w:p>
    <w:p w14:paraId="4FEA635F" w14:textId="5F01C39B" w:rsidR="00C642DC" w:rsidRDefault="00C642DC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 w:rsidRPr="00C642DC">
        <w:rPr>
          <w:noProof/>
        </w:rPr>
        <w:drawing>
          <wp:inline distT="0" distB="0" distL="0" distR="0" wp14:anchorId="61B9EFF1" wp14:editId="728F4932">
            <wp:extent cx="5731510" cy="2422525"/>
            <wp:effectExtent l="0" t="0" r="2540" b="0"/>
            <wp:docPr id="139701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18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6CAE" w14:textId="77777777" w:rsidR="00C642DC" w:rsidRDefault="00C642DC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69469241" w14:textId="5FD63C7B" w:rsidR="001D5C81" w:rsidRPr="009B5AD6" w:rsidRDefault="00C642DC" w:rsidP="009B5A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OUTCOME:</w:t>
      </w:r>
    </w:p>
    <w:p w14:paraId="05DD969C" w14:textId="77777777" w:rsidR="00D978C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1 Outcome: Confirms that global AI adoption in education is an urgent, unevenly understood phenomenon, justifying the need for structured, data-driven monitoring across countries and demographics.</w:t>
      </w:r>
    </w:p>
    <w:p w14:paraId="20E79DB1" w14:textId="77777777" w:rsidR="00D978C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2 Outcome: Oceania leads at 34.6% school adoption, but other regions trail closely behind (around 29%), showing geographic disparity exists without being extreme — supporting a near-uniform, low-friction regional rollout strategy.</w:t>
      </w:r>
    </w:p>
    <w:p w14:paraId="7099450E" w14:textId="77777777" w:rsidR="00D978C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3 Outcome: AI adoption has grown roughly 12x, from 5% in 2015 to 60% in 2026, confirming a durable, accelerating trend rather than a short-lived spike.</w:t>
      </w:r>
    </w:p>
    <w:p w14:paraId="42FB1C04" w14:textId="77777777" w:rsidR="00D978C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4 Outcome: No single AI tool dominates the market (ChatGPT 26.7%, Copilot 25.1%, Gemini 24.3%, Khanmigo 24.0%), signaling that institutions should plan for multi-tool integration rather than single-platform lock-in.</w:t>
      </w:r>
    </w:p>
    <w:p w14:paraId="366E934E" w14:textId="77777777" w:rsidR="00D978C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lastRenderedPageBreak/>
        <w:t>Scene 5 Outcome: A clear digital equity gap of about 12 percentage points separates urban (33.56%) and rural (21.60%) adoption, making rural infrastructure and access investment the top equity priority.</w:t>
      </w:r>
    </w:p>
    <w:p w14:paraId="4B15E69C" w14:textId="77777777" w:rsidR="00D978C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6 Outcome: Adoption parity between students (30.99%) and teachers (29.91%) indicates adoption is being driven by coordinated institutional strategy rather than a single stakeholder group.</w:t>
      </w:r>
    </w:p>
    <w:p w14:paraId="63427690" w14:textId="77777777" w:rsidR="00C642DC" w:rsidRDefault="00C642DC" w:rsidP="00C642D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Scene 7 – Outcomes: Key Takeaways from the Data Story. This concluding scene consolidates the outcomes derived from Scenes 1–6, translating the visual narrative into actionable insights for educational technology leaders and policymakers.</w:t>
      </w:r>
    </w:p>
    <w:p w14:paraId="223CCF42" w14:textId="77777777" w:rsidR="00D978C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</w:rPr>
      </w:pPr>
      <w:r>
        <w:rPr>
          <w:b/>
          <w:bCs/>
        </w:rPr>
        <w:t>Overall Project Outcome: Global AI adoption in education is a rapidly accelerating, globally distributed trend, adopted in a coordinated way by both students and teachers across a diversified toolset — but its benefits are not yet reaching rural communities equally, making digital equity the single largest challenge for the next phase of adoption.</w:t>
      </w:r>
    </w:p>
    <w:p w14:paraId="11E7CFA0" w14:textId="77777777" w:rsidR="00EA7354" w:rsidRDefault="00EA735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0514ECE5" w14:textId="77777777" w:rsidR="00EA7354" w:rsidRDefault="00EA735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0ED0B069" w14:textId="77777777" w:rsidR="00EA7354" w:rsidRDefault="00EA735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770C6DDB" w14:textId="77777777" w:rsidR="00EA7354" w:rsidRDefault="00EA735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32DF4FDD" w14:textId="77777777" w:rsidR="00B05103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2:</w:t>
      </w:r>
    </w:p>
    <w:p w14:paraId="3C079AF1" w14:textId="1F4C1FC6" w:rsidR="00B05103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Publish Story on Tableau Public and Paste Public link below</w:t>
      </w:r>
      <w:r w:rsidR="00954437">
        <w:t>:</w:t>
      </w:r>
    </w:p>
    <w:p w14:paraId="0ACFD83C" w14:textId="77777777" w:rsidR="00B05103" w:rsidRDefault="00EA735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hyperlink r:id="rId14" w:history="1">
        <w:r>
          <w:rPr>
            <w:rStyle w:val="Hyperlink"/>
          </w:rPr>
          <w:t>https://public.tableau.com/views/GlobalAIAdoptioninEducationStory/Story1?:language=en-US&amp;publish=yes&amp;:sid=&amp;:redirect=auth&amp;:display_count=n&amp;:origin=viz_share_link</w:t>
        </w:r>
      </w:hyperlink>
    </w:p>
    <w:p w14:paraId="62A7309D" w14:textId="77777777" w:rsidR="00EA7354" w:rsidRDefault="00EA735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sectPr w:rsidR="00EA735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2033A26-4DC8-4935-95CE-414231A172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1D7ED4-0455-4C16-9B2B-9664FB19CC09}"/>
    <w:embedBold r:id="rId3" w:fontKey="{B2DF8739-6287-4EF0-B0DF-CDC05E51A5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2A77FE8-860D-485F-95B5-9E754EC257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C50DFA79-4D0D-470B-B1B4-3927277FED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98694F6-888D-4BE5-AFCC-64A26FC988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0379A"/>
    <w:multiLevelType w:val="multilevel"/>
    <w:tmpl w:val="4B9636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458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103"/>
    <w:rsid w:val="00001A68"/>
    <w:rsid w:val="000A4A4F"/>
    <w:rsid w:val="001D3CB2"/>
    <w:rsid w:val="001D5C81"/>
    <w:rsid w:val="00285DF3"/>
    <w:rsid w:val="00505A0C"/>
    <w:rsid w:val="005F1977"/>
    <w:rsid w:val="007C341D"/>
    <w:rsid w:val="00954437"/>
    <w:rsid w:val="009B5AD6"/>
    <w:rsid w:val="009D01E4"/>
    <w:rsid w:val="00B05103"/>
    <w:rsid w:val="00B3188B"/>
    <w:rsid w:val="00C642DC"/>
    <w:rsid w:val="00C956A2"/>
    <w:rsid w:val="00CE4330"/>
    <w:rsid w:val="00D1792F"/>
    <w:rsid w:val="00D978CE"/>
    <w:rsid w:val="00EA7354"/>
    <w:rsid w:val="00F772CE"/>
    <w:rsid w:val="00F8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9D02"/>
  <w15:docId w15:val="{1D63E533-B411-4528-961F-41652FAB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35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EA7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public.tableau.com/views/GlobalAIAdoptioninEducationStory/Story1?:language=en-US&amp;publish=yes&amp;:sid=&amp;:redirect=auth&amp;:display_count=n&amp;:origin=viz_share_lin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Kavindra Singh</cp:lastModifiedBy>
  <cp:revision>17</cp:revision>
  <dcterms:created xsi:type="dcterms:W3CDTF">2024-01-13T08:53:00Z</dcterms:created>
  <dcterms:modified xsi:type="dcterms:W3CDTF">2026-08-15T07:14:00Z</dcterms:modified>
</cp:coreProperties>
</file>