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Explainable Artificial Intelligence for Real-Time In-Hospital Mortality Prediction and Bedside Decision Support in Intensive Care Units</w:t>
      </w:r>
    </w:p>
    <w:p>
      <w:pPr>
        <w:spacing w:after="120"/>
      </w:pPr>
      <w:r>
        <w:rPr>
          <w:rFonts w:ascii="Times New Roman" w:hAnsi="Times New Roman"/>
          <w:b/>
          <w:i/>
          <w:sz w:val="22"/>
        </w:rPr>
        <w:t>Abstract</w:t>
      </w:r>
    </w:p>
    <w:p>
      <w:pPr>
        <w:spacing w:line="276" w:lineRule="auto" w:after="240"/>
        <w:jc w:val="both"/>
      </w:pPr>
      <w:r>
        <w:rPr>
          <w:rFonts w:ascii="Times New Roman" w:hAnsi="Times New Roman"/>
          <w:sz w:val="20"/>
        </w:rPr>
        <w:t>Clinical deterioration in the Intensive Care Unit (ICU) requires early identification to support clinical decisions, though predictive modeling on pilot-scale datasets is often challenged by extreme class imbalance and alert fatigue. This study presents a proof-of-concept feasibility study demonstrating the deployment and explainability of an explainable AI-based ICU Clinical Decision Support System (CDSS) using a limited open-access ICU cohort. Using the publicly available MIMIC-IV Clinical Demo dataset comprising 100 ICU patients, we developed a leak-free preprocessing pipeline featuring clinical outlier filtering, scale unification, and multimodal statistical aggregation over nine biological markers. Seven machine learning classifiers and two ensembles were evaluated under Stratified 5-Fold Cross-Validation. To address the severe class imbalance (11.0% mortality) and standard decision threshold limitations, we implemented out-of-fold Youden’s J threshold optimization. An ExtraTrees Classifier was selected as the champion model under a fold-averaged decision threshold of 0.39. On the holdout test set, the champion model achieved a classification accuracy of 0.55, a specificity of 0.5556, a sensitivity of 0.50, and an area under the receiver operating characteristic curve (ROC-AUC) of 0.5556. Bedside interpretability is provided via a localized SHAP explanation engine, deconstructing risk predictions into key physiological factors including potassium variability and heart-rate dynamics. The system is deployed as an interactive Streamlit-based CDSS featuring automated PDF reporting to support bedside decision-making. This study demonstrates the feasibility of deploying XAI-based tools under constrained data regimes, establishing a baseline for future scaling to full-scale clinical datasets.</w:t>
      </w:r>
    </w:p>
    <w:p>
      <w:pPr>
        <w:spacing w:line="276" w:lineRule="auto" w:after="240"/>
        <w:jc w:val="both"/>
      </w:pPr>
      <w:r>
        <w:rPr>
          <w:rFonts w:ascii="Times New Roman" w:hAnsi="Times New Roman"/>
          <w:b/>
          <w:i/>
          <w:sz w:val="20"/>
        </w:rPr>
        <w:t>Keywords—</w:t>
      </w:r>
      <w:r>
        <w:rPr>
          <w:rFonts w:ascii="Times New Roman" w:hAnsi="Times New Roman"/>
          <w:sz w:val="20"/>
        </w:rPr>
        <w:t>Clinical decision support systems, Explainable artificial intelligence, Intensive care units, Mortality prediction, Machine learning, Youden's J statistic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