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Arial" w:hAnsi="Arial"/>
          <w:b/>
          <w:sz w:val="36"/>
        </w:rPr>
        <w:t>An Explainable Machine Learning Clinical Decision Support System with Clinical Regularization and Youden-Thresholding for Bedside ICU Mortality Prediction</w:t>
      </w:r>
    </w:p>
    <w:p>
      <w:pPr>
        <w:spacing w:after="480"/>
        <w:jc w:val="center"/>
      </w:pPr>
      <w:r>
        <w:rPr>
          <w:rFonts w:ascii="Arial" w:hAnsi="Arial"/>
          <w:sz w:val="20"/>
        </w:rPr>
        <w:t>S. Kaviya Shree (24BVD1088), D. Tarunika (24BLC1336), Kavya Raja . G (24BVD1099)</w:t>
        <w:br/>
        <w:t>School of Electronics Engineering, Vellore Institute of Technology (VIT), Chennai, Tamil Nadu, India</w:t>
        <w:br/>
        <w:t>Email: {kaviyashree.s2024, tarunika.d2024, kavyaraja.g2024}@vitstudent.ac.in</w:t>
      </w:r>
    </w:p>
    <w:p>
      <w:pPr>
        <w:sectPr>
          <w:pgSz w:w="12240" w:h="15840"/>
          <w:pgMar w:top="1080" w:right="900" w:bottom="1080" w:left="900" w:header="720" w:footer="720" w:gutter="0"/>
          <w:cols w:space="720"/>
          <w:docGrid w:linePitch="360"/>
        </w:sectPr>
      </w:pPr>
    </w:p>
    <w:p>
      <w:pPr>
        <w:spacing w:after="240" w:line="252" w:lineRule="auto"/>
        <w:jc w:val="both"/>
      </w:pPr>
      <w:r>
        <w:rPr>
          <w:rFonts w:ascii="Times New Roman" w:hAnsi="Times New Roman"/>
          <w:b/>
          <w:i/>
          <w:sz w:val="19"/>
        </w:rPr>
        <w:t>Abstract—</w:t>
      </w:r>
      <w:r>
        <w:rPr>
          <w:rFonts w:ascii="Times New Roman" w:hAnsi="Times New Roman"/>
          <w:b/>
          <w:sz w:val="19"/>
        </w:rPr>
        <w:t>Clinical deterioration in the Intensive Care Unit (ICU) requires early and accurate identification to improve patient outcomes, yet standard alarm systems often suffer from high false-alarm rates leading to clinical alert fatigue. This study presents the development, validation, and deployment of an Explainable AI (XAI) bedside Clinical Decision Support System (CDSS) for predicting in-hospital mortality using physiological data collected during the initial 24 hours of an ICU stay. Drawing on the MIMIC-IV Clinical Demo dataset (100 patients, 140 stays), we constructed a leak-free preprocessing pipeline featuring clinical outlier scrubbing, temperature scale unification, and multimodal statistical aggregation (min, max, mean, standard deviation, latest, and trend) over 9 predictive clinical markers. We evaluated seven machine learning classifiers and two ensembles under Stratified 5-Fold Cross-Validation. To address severe class imbalance (11.0% mortality) and default threshold failures, we implemented out-of-fold Youden’s J threshold optimization. An ExtraTrees Classifier was selected as the final champion predictor, utilizing a fold-averaged decision threshold of 0.39. On the holdout test set, the champion model achieved an accuracy of 0.5500, a specificity of 0.5556, a sensitivity of 0.5000, an area under the receiver operating characteristic curve (ROC-AUC) of 0.5556, and a precision-recall area under the curve (PR-AUC) of 0.1603. Bedside transparency is provided via a SHAP Explainability Engine, deconstructing risk scores into biophysical drivers like Potassium (Min) and Heart Rate (Std). The system is deployed as an interactive Streamlit application with rule-based treatment recommendations and automated Patient Chart PDF generation, bridging the gap between machine learning and clinician bedside trust.</w:t>
      </w:r>
    </w:p>
    <w:p>
      <w:pPr>
        <w:spacing w:after="240"/>
      </w:pPr>
      <w:r>
        <w:rPr>
          <w:rFonts w:ascii="Times New Roman" w:hAnsi="Times New Roman"/>
          <w:b/>
          <w:i/>
          <w:sz w:val="19"/>
        </w:rPr>
        <w:t>Keywords—</w:t>
      </w:r>
      <w:r>
        <w:rPr>
          <w:rFonts w:ascii="Times New Roman" w:hAnsi="Times New Roman"/>
          <w:i/>
          <w:sz w:val="19"/>
        </w:rPr>
        <w:t>Explainable Artificial Intelligence (XAI), Clinical Decision Support Systems (CDSS), ExtraTrees Classifier, Youden's J Statistic, SHAP, ICU Mortality Prediction, MIMIC-IV Clinical Demo.</w:t>
      </w:r>
    </w:p>
    <w:p>
      <w:pPr>
        <w:keepNext/>
        <w:spacing w:before="240" w:after="120"/>
        <w:jc w:val="center"/>
      </w:pPr>
      <w:r>
        <w:rPr>
          <w:rFonts w:ascii="Arial" w:hAnsi="Arial"/>
          <w:b/>
          <w:sz w:val="21"/>
        </w:rPr>
        <w:t>I. INTRODUCTION</w:t>
      </w:r>
    </w:p>
    <w:p>
      <w:pPr>
        <w:spacing w:after="0" w:line="252" w:lineRule="auto"/>
        <w:jc w:val="both"/>
      </w:pPr>
      <w:r>
        <w:rPr>
          <w:rFonts w:ascii="Times New Roman" w:hAnsi="Times New Roman"/>
          <w:sz w:val="19"/>
        </w:rPr>
        <w:t>The intensive care unit (ICU) is a high-acuity environment where patients require continuous monitoring and rapid, life-critical interventions. Critical care teams are inundated with massive, heterogeneous data streams generated by bedside telemetry monitors, ventilators, and frequent laboratory assessments. This data density frequently results in cognitive overload and alarm fatigue, where clinical staff desensitize to warning sounds, occasionally missing critical physiological deterioration cues.</w:t>
      </w:r>
    </w:p>
    <w:p>
      <w:pPr>
        <w:spacing w:after="0" w:line="252" w:lineRule="auto"/>
        <w:ind w:firstLine="216"/>
        <w:jc w:val="both"/>
      </w:pPr>
      <w:r>
        <w:rPr>
          <w:rFonts w:ascii="Times New Roman" w:hAnsi="Times New Roman"/>
          <w:sz w:val="19"/>
        </w:rPr>
        <w:t>To overcome these shortcomings, computer vision and machine learning provide a solution that is non-invasive, automatic, and extremely scalable. Previously, Convolutional Neural Networks and Tree Ensembles have been very successful on visual and tabular prediction tasks. Tabular EHR models automatically extract discriminative physiological indicators without requiring manually designed scores.</w:t>
      </w:r>
    </w:p>
    <w:p>
      <w:pPr>
        <w:spacing w:after="0" w:line="252" w:lineRule="auto"/>
        <w:ind w:firstLine="216"/>
        <w:jc w:val="both"/>
      </w:pPr>
      <w:r>
        <w:rPr>
          <w:rFonts w:ascii="Times New Roman" w:hAnsi="Times New Roman"/>
          <w:sz w:val="19"/>
        </w:rPr>
        <w:t>Nevertheless, there are some challenges associated with practical engineering of using machine learning models to automate the process of diagnosing ICU deterioration:</w:t>
      </w:r>
    </w:p>
    <w:p>
      <w:pPr>
        <w:spacing w:after="0" w:line="252" w:lineRule="auto"/>
        <w:ind w:firstLine="115"/>
        <w:jc w:val="both"/>
      </w:pPr>
      <w:r>
        <w:rPr>
          <w:rFonts w:ascii="Times New Roman" w:hAnsi="Times New Roman"/>
          <w:sz w:val="19"/>
        </w:rPr>
        <w:t>1. Complementary Inductive Biases: Various algorithm families embody different kinds of inductive biases. Linear models assume linear separability, while tree-based ensembles are translation-invariant and can handle non-linear boundaries. Thus, there is no one dominant classifier family that works better than other families for every patient phenotype.</w:t>
      </w:r>
    </w:p>
    <w:p>
      <w:pPr>
        <w:spacing w:after="0" w:line="252" w:lineRule="auto"/>
        <w:ind w:firstLine="115"/>
        <w:jc w:val="both"/>
      </w:pPr>
      <w:r>
        <w:rPr>
          <w:rFonts w:ascii="Times New Roman" w:hAnsi="Times New Roman"/>
          <w:sz w:val="19"/>
        </w:rPr>
        <w:t>2. Inference Variability: Direct inference of an algorithm on a single static recording is highly dependent on irrelevant environmental factors, such as sensor displacements, temporary noise, or missing laboratory draws.</w:t>
      </w:r>
    </w:p>
    <w:p>
      <w:pPr>
        <w:spacing w:after="0" w:line="252" w:lineRule="auto"/>
        <w:ind w:firstLine="115"/>
        <w:jc w:val="both"/>
      </w:pPr>
      <w:r>
        <w:rPr>
          <w:rFonts w:ascii="Times New Roman" w:hAnsi="Times New Roman"/>
          <w:sz w:val="19"/>
        </w:rPr>
        <w:t>3. Overfitting to Small Datasets: Deep and non-linear neural networks trained over long periods of time on relatively small clinical datasets tend to be highly vulnerable to high variance and overfitting unless optimized and regularized.</w:t>
      </w:r>
    </w:p>
    <w:p>
      <w:pPr>
        <w:keepNext/>
        <w:spacing w:before="160" w:after="80"/>
        <w:jc w:val="left"/>
      </w:pPr>
      <w:r>
        <w:rPr>
          <w:rFonts w:ascii="Arial" w:hAnsi="Arial"/>
          <w:b/>
          <w:i/>
          <w:sz w:val="19"/>
        </w:rPr>
        <w:t>Contributions of this Work</w:t>
      </w:r>
    </w:p>
    <w:p>
      <w:pPr>
        <w:spacing w:after="0" w:line="252" w:lineRule="auto"/>
        <w:jc w:val="both"/>
      </w:pPr>
      <w:r>
        <w:rPr>
          <w:rFonts w:ascii="Times New Roman" w:hAnsi="Times New Roman"/>
          <w:sz w:val="19"/>
        </w:rPr>
        <w:t>The contributions of this work are made systematically to tackle all these problems using an orchestrated, multi-step clinical machine learning pipeline. To start with, seven base models and two advanced ensembles are evaluated separately. Next, Youden's J threshold optimization and clinical healthy references imputation are implemented at the training stage. Finally, Tree SHAP interpretability is integrated at the bedside. The main technical contributions are highlighted as follows:</w:t>
      </w:r>
    </w:p>
    <w:p>
      <w:pPr>
        <w:spacing w:after="0" w:line="252" w:lineRule="auto"/>
        <w:ind w:firstLine="115"/>
        <w:jc w:val="both"/>
      </w:pPr>
      <w:r>
        <w:rPr>
          <w:rFonts w:ascii="Times New Roman" w:hAnsi="Times New Roman"/>
          <w:sz w:val="19"/>
        </w:rPr>
        <w:t>1. Multi-Model Comparative Evaluation: We tune and comprehensively benchmark nine models using the same training procedure to disentangle the role of algorithm inductive biases on clinical tabular data.</w:t>
      </w:r>
    </w:p>
    <w:p>
      <w:pPr>
        <w:spacing w:after="0" w:line="252" w:lineRule="auto"/>
        <w:ind w:firstLine="115"/>
        <w:jc w:val="both"/>
      </w:pPr>
      <w:r>
        <w:rPr>
          <w:rFonts w:ascii="Times New Roman" w:hAnsi="Times New Roman"/>
          <w:sz w:val="19"/>
        </w:rPr>
        <w:t>2. Preprocessing &amp; Imputation Strategy: Clinical data is cleaned by removing sensor outliers and imputing missing labs with healthy reference baselines to represent clinical normalcy.</w:t>
      </w:r>
    </w:p>
    <w:p>
      <w:pPr>
        <w:spacing w:after="0" w:line="252" w:lineRule="auto"/>
        <w:ind w:firstLine="115"/>
        <w:jc w:val="both"/>
      </w:pPr>
      <w:r>
        <w:rPr>
          <w:rFonts w:ascii="Times New Roman" w:hAnsi="Times New Roman"/>
          <w:sz w:val="19"/>
        </w:rPr>
        <w:t>3. Decision Threshold Optimization: A fold-averaged threshold sweep using Youden's J statistic resolves class-imbalance majority-class collapse, resuscitating clinical sensitivity.</w:t>
      </w:r>
    </w:p>
    <w:p>
      <w:pPr>
        <w:spacing w:after="0" w:line="252" w:lineRule="auto"/>
        <w:ind w:firstLine="115"/>
        <w:jc w:val="both"/>
      </w:pPr>
      <w:r>
        <w:rPr>
          <w:rFonts w:ascii="Times New Roman" w:hAnsi="Times New Roman"/>
          <w:sz w:val="19"/>
        </w:rPr>
        <w:t>4. Visual &amp; Game-Theoretic Bedside Interpretation: We perform Tree SHAP deconstruction to explain model risk predictions, serving them in Streamlit.</w:t>
      </w:r>
    </w:p>
    <w:p>
      <w:pPr>
        <w:keepNext/>
        <w:spacing w:before="240" w:after="120"/>
        <w:jc w:val="center"/>
      </w:pPr>
      <w:r>
        <w:rPr>
          <w:rFonts w:ascii="Arial" w:hAnsi="Arial"/>
          <w:b/>
          <w:sz w:val="21"/>
        </w:rPr>
        <w:t>II. RELATED WORK</w:t>
      </w:r>
    </w:p>
    <w:p>
      <w:pPr>
        <w:spacing w:after="0" w:line="252" w:lineRule="auto"/>
        <w:jc w:val="both"/>
      </w:pPr>
      <w:r>
        <w:rPr>
          <w:rFonts w:ascii="Times New Roman" w:hAnsi="Times New Roman"/>
          <w:sz w:val="19"/>
        </w:rPr>
        <w:t>Early attempts at automated mortality prediction in ICUs utilized static scoring systems like SAPS II and APACHE, which calculate scores at the end of 24 hours. However, these systems do not adapt to continuous trajectories and are clinically rigid. Recent work has deployed machine learning classifiers on large EHR databases like MIMIC-IV to predict clinical outcomes. Yet, black-box models lack interpretability. SHAP based on game theory provides a mathematically consistent method to explain predictions, while interactive web dashboards provide clinical bedside integration.</w:t>
      </w:r>
    </w:p>
    <w:p>
      <w:pPr>
        <w:keepNext/>
        <w:spacing w:before="240" w:after="120"/>
        <w:jc w:val="center"/>
      </w:pPr>
      <w:r>
        <w:rPr>
          <w:rFonts w:ascii="Arial" w:hAnsi="Arial"/>
          <w:b/>
          <w:sz w:val="21"/>
        </w:rPr>
        <w:t>III. DATASET AND CLASS DISTRIBUTION</w:t>
      </w:r>
    </w:p>
    <w:p>
      <w:pPr>
        <w:spacing w:after="0" w:line="252" w:lineRule="auto"/>
        <w:jc w:val="both"/>
      </w:pPr>
      <w:r>
        <w:rPr>
          <w:rFonts w:ascii="Times New Roman" w:hAnsi="Times New Roman"/>
          <w:sz w:val="19"/>
        </w:rPr>
        <w:t>The study uses the publicly available MIMIC-IV Clinical Demo dataset (v2.2), containing EHR records for 100 adult patients across 140 ICU stays. The target is hospital_expire_flag (1 = Deceased, 0 = Survived). The dataset is split 80% for training and 20% for testing using Stratified Shuffle Split. Table I and Table II describe the target classes and data distribution.</w:t>
      </w:r>
    </w:p>
    <w:p>
      <w:pPr>
        <w:spacing w:before="160"/>
      </w:pPr>
    </w:p>
    <w:tbl>
      <w:tblPr>
        <w:tblStyle w:val="TableGrid"/>
        <w:tblW w:type="auto" w:w="0"/>
        <w:tblLook w:firstColumn="1" w:firstRow="1" w:lastColumn="0" w:lastRow="0" w:noHBand="0" w:noVBand="1" w:val="04A0"/>
      </w:tblPr>
      <w:tblGrid>
        <w:gridCol w:w="3480"/>
        <w:gridCol w:w="3480"/>
        <w:gridCol w:w="3480"/>
      </w:tblGrid>
      <w:tr>
        <w:tc>
          <w:tcPr>
            <w:tcW w:type="dxa" w:w="3480"/>
          </w:tcPr>
          <w:p>
            <w:pPr>
              <w:jc w:val="center"/>
            </w:pPr>
            <w:r>
              <w:t>Class Index</w:t>
            </w:r>
          </w:p>
        </w:tc>
        <w:tc>
          <w:tcPr>
            <w:tcW w:type="dxa" w:w="3480"/>
          </w:tcPr>
          <w:p>
            <w:pPr>
              <w:jc w:val="center"/>
            </w:pPr>
            <w:r>
              <w:t>Class Name</w:t>
            </w:r>
          </w:p>
        </w:tc>
        <w:tc>
          <w:tcPr>
            <w:tcW w:type="dxa" w:w="3480"/>
          </w:tcPr>
          <w:p>
            <w:pPr>
              <w:jc w:val="center"/>
            </w:pPr>
            <w:r>
              <w:t>Category</w:t>
            </w:r>
          </w:p>
        </w:tc>
      </w:tr>
      <w:tr>
        <w:tc>
          <w:tcPr>
            <w:tcW w:type="dxa" w:w="3480"/>
          </w:tcPr>
          <w:p>
            <w:r>
              <w:t>0</w:t>
            </w:r>
          </w:p>
        </w:tc>
        <w:tc>
          <w:tcPr>
            <w:tcW w:type="dxa" w:w="3480"/>
          </w:tcPr>
          <w:p>
            <w:r>
              <w:t>Survived</w:t>
            </w:r>
          </w:p>
        </w:tc>
        <w:tc>
          <w:tcPr>
            <w:tcW w:type="dxa" w:w="3480"/>
          </w:tcPr>
          <w:p>
            <w:r>
              <w:t>Control</w:t>
            </w:r>
          </w:p>
        </w:tc>
      </w:tr>
      <w:tr>
        <w:tc>
          <w:tcPr>
            <w:tcW w:type="dxa" w:w="3480"/>
          </w:tcPr>
          <w:p>
            <w:r>
              <w:t>1</w:t>
            </w:r>
          </w:p>
        </w:tc>
        <w:tc>
          <w:tcPr>
            <w:tcW w:type="dxa" w:w="3480"/>
          </w:tcPr>
          <w:p>
            <w:r>
              <w:t>Deceased</w:t>
            </w:r>
          </w:p>
        </w:tc>
        <w:tc>
          <w:tcPr>
            <w:tcW w:type="dxa" w:w="3480"/>
          </w:tcPr>
          <w:p>
            <w:r>
              <w:t>Target</w:t>
            </w:r>
          </w:p>
        </w:tc>
      </w:tr>
    </w:tbl>
    <w:p>
      <w:pPr>
        <w:spacing w:before="80" w:after="160"/>
        <w:jc w:val="center"/>
      </w:pPr>
      <w:r>
        <w:rPr>
          <w:rFonts w:ascii="Arial" w:hAnsi="Arial"/>
          <w:i/>
          <w:sz w:val="16"/>
        </w:rPr>
        <w:t>TABLE I — Target Classification Categories</w:t>
      </w:r>
    </w:p>
    <w:p>
      <w:pPr>
        <w:spacing w:before="160"/>
      </w:pPr>
    </w:p>
    <w:tbl>
      <w:tblPr>
        <w:tblStyle w:val="TableGrid"/>
        <w:tblW w:type="auto" w:w="0"/>
        <w:tblLook w:firstColumn="1" w:firstRow="1" w:lastColumn="0" w:lastRow="0" w:noHBand="0" w:noVBand="1" w:val="04A0"/>
      </w:tblPr>
      <w:tblGrid>
        <w:gridCol w:w="2088"/>
        <w:gridCol w:w="2088"/>
        <w:gridCol w:w="2088"/>
        <w:gridCol w:w="2088"/>
        <w:gridCol w:w="2088"/>
      </w:tblGrid>
      <w:tr>
        <w:tc>
          <w:tcPr>
            <w:tcW w:type="dxa" w:w="2088"/>
          </w:tcPr>
          <w:p>
            <w:pPr>
              <w:jc w:val="center"/>
            </w:pPr>
            <w:r>
              <w:t>Target Class Name</w:t>
            </w:r>
          </w:p>
        </w:tc>
        <w:tc>
          <w:tcPr>
            <w:tcW w:type="dxa" w:w="2088"/>
          </w:tcPr>
          <w:p>
            <w:pPr>
              <w:jc w:val="center"/>
            </w:pPr>
            <w:r>
              <w:t>Total Count</w:t>
            </w:r>
          </w:p>
        </w:tc>
        <w:tc>
          <w:tcPr>
            <w:tcW w:type="dxa" w:w="2088"/>
          </w:tcPr>
          <w:p>
            <w:pPr>
              <w:jc w:val="center"/>
            </w:pPr>
            <w:r>
              <w:t>% of Total</w:t>
            </w:r>
          </w:p>
        </w:tc>
        <w:tc>
          <w:tcPr>
            <w:tcW w:type="dxa" w:w="2088"/>
          </w:tcPr>
          <w:p>
            <w:pPr>
              <w:jc w:val="center"/>
            </w:pPr>
            <w:r>
              <w:t>Train Split (80%)</w:t>
            </w:r>
          </w:p>
        </w:tc>
        <w:tc>
          <w:tcPr>
            <w:tcW w:type="dxa" w:w="2088"/>
          </w:tcPr>
          <w:p>
            <w:pPr>
              <w:jc w:val="center"/>
            </w:pPr>
            <w:r>
              <w:t>Test Split (20%)</w:t>
            </w:r>
          </w:p>
        </w:tc>
      </w:tr>
      <w:tr>
        <w:tc>
          <w:tcPr>
            <w:tcW w:type="dxa" w:w="2088"/>
          </w:tcPr>
          <w:p>
            <w:r>
              <w:t>Survived</w:t>
            </w:r>
          </w:p>
        </w:tc>
        <w:tc>
          <w:tcPr>
            <w:tcW w:type="dxa" w:w="2088"/>
          </w:tcPr>
          <w:p>
            <w:r>
              <w:t>125</w:t>
            </w:r>
          </w:p>
        </w:tc>
        <w:tc>
          <w:tcPr>
            <w:tcW w:type="dxa" w:w="2088"/>
          </w:tcPr>
          <w:p>
            <w:r>
              <w:t>89.28%</w:t>
            </w:r>
          </w:p>
        </w:tc>
        <w:tc>
          <w:tcPr>
            <w:tcW w:type="dxa" w:w="2088"/>
          </w:tcPr>
          <w:p>
            <w:r>
              <w:t>100</w:t>
            </w:r>
          </w:p>
        </w:tc>
        <w:tc>
          <w:tcPr>
            <w:tcW w:type="dxa" w:w="2088"/>
          </w:tcPr>
          <w:p>
            <w:r>
              <w:t>25</w:t>
            </w:r>
          </w:p>
        </w:tc>
      </w:tr>
      <w:tr>
        <w:tc>
          <w:tcPr>
            <w:tcW w:type="dxa" w:w="2088"/>
          </w:tcPr>
          <w:p>
            <w:r>
              <w:t>Deceased</w:t>
            </w:r>
          </w:p>
        </w:tc>
        <w:tc>
          <w:tcPr>
            <w:tcW w:type="dxa" w:w="2088"/>
          </w:tcPr>
          <w:p>
            <w:r>
              <w:t>15</w:t>
            </w:r>
          </w:p>
        </w:tc>
        <w:tc>
          <w:tcPr>
            <w:tcW w:type="dxa" w:w="2088"/>
          </w:tcPr>
          <w:p>
            <w:r>
              <w:t>10.72%</w:t>
            </w:r>
          </w:p>
        </w:tc>
        <w:tc>
          <w:tcPr>
            <w:tcW w:type="dxa" w:w="2088"/>
          </w:tcPr>
          <w:p>
            <w:r>
              <w:t>12</w:t>
            </w:r>
          </w:p>
        </w:tc>
        <w:tc>
          <w:tcPr>
            <w:tcW w:type="dxa" w:w="2088"/>
          </w:tcPr>
          <w:p>
            <w:r>
              <w:t>3</w:t>
            </w:r>
          </w:p>
        </w:tc>
      </w:tr>
      <w:tr>
        <w:tc>
          <w:tcPr>
            <w:tcW w:type="dxa" w:w="2088"/>
          </w:tcPr>
          <w:p>
            <w:r>
              <w:t>TOTAL DATASET</w:t>
            </w:r>
          </w:p>
        </w:tc>
        <w:tc>
          <w:tcPr>
            <w:tcW w:type="dxa" w:w="2088"/>
          </w:tcPr>
          <w:p>
            <w:r>
              <w:t>140</w:t>
            </w:r>
          </w:p>
        </w:tc>
        <w:tc>
          <w:tcPr>
            <w:tcW w:type="dxa" w:w="2088"/>
          </w:tcPr>
          <w:p>
            <w:r>
              <w:t>100%</w:t>
            </w:r>
          </w:p>
        </w:tc>
        <w:tc>
          <w:tcPr>
            <w:tcW w:type="dxa" w:w="2088"/>
          </w:tcPr>
          <w:p>
            <w:r>
              <w:t>112</w:t>
            </w:r>
          </w:p>
        </w:tc>
        <w:tc>
          <w:tcPr>
            <w:tcW w:type="dxa" w:w="2088"/>
          </w:tcPr>
          <w:p>
            <w:r>
              <w:t>28</w:t>
            </w:r>
          </w:p>
        </w:tc>
      </w:tr>
    </w:tbl>
    <w:p>
      <w:pPr>
        <w:spacing w:before="80" w:after="160"/>
        <w:jc w:val="center"/>
      </w:pPr>
      <w:r>
        <w:rPr>
          <w:rFonts w:ascii="Arial" w:hAnsi="Arial"/>
          <w:i/>
          <w:sz w:val="16"/>
        </w:rPr>
        <w:t>TABLE II – DATA DISTRIBUTION</w:t>
      </w:r>
    </w:p>
    <w:p>
      <w:pPr>
        <w:keepNext/>
        <w:spacing w:before="160" w:after="80"/>
        <w:jc w:val="left"/>
      </w:pPr>
      <w:r>
        <w:rPr>
          <w:rFonts w:ascii="Arial" w:hAnsi="Arial"/>
          <w:b/>
          <w:i/>
          <w:sz w:val="19"/>
        </w:rPr>
        <w:t>A. Data Regularization Strategy (Training)</w:t>
      </w:r>
    </w:p>
    <w:p>
      <w:pPr>
        <w:spacing w:after="0" w:line="252" w:lineRule="auto"/>
        <w:jc w:val="both"/>
      </w:pPr>
      <w:r>
        <w:rPr>
          <w:rFonts w:ascii="Times New Roman" w:hAnsi="Times New Roman"/>
          <w:sz w:val="19"/>
        </w:rPr>
        <w:t>In clinical tabular datasets, we apply clinical preprocessing and missingness engineering as regularizers to diversify the feature space and avoid overfitting. This is described in Table III.</w:t>
      </w:r>
    </w:p>
    <w:p>
      <w:pPr>
        <w:spacing w:before="160"/>
      </w:pPr>
    </w:p>
    <w:tbl>
      <w:tblPr>
        <w:tblStyle w:val="TableGrid"/>
        <w:tblW w:type="auto" w:w="0"/>
        <w:tblLook w:firstColumn="1" w:firstRow="1" w:lastColumn="0" w:lastRow="0" w:noHBand="0" w:noVBand="1" w:val="04A0"/>
      </w:tblPr>
      <w:tblGrid>
        <w:gridCol w:w="3480"/>
        <w:gridCol w:w="3480"/>
        <w:gridCol w:w="3480"/>
      </w:tblGrid>
      <w:tr>
        <w:tc>
          <w:tcPr>
            <w:tcW w:type="dxa" w:w="3480"/>
          </w:tcPr>
          <w:p>
            <w:pPr>
              <w:jc w:val="both"/>
            </w:pPr>
            <w:r>
              <w:t>Technique</w:t>
            </w:r>
          </w:p>
        </w:tc>
        <w:tc>
          <w:tcPr>
            <w:tcW w:type="dxa" w:w="3480"/>
          </w:tcPr>
          <w:p>
            <w:pPr>
              <w:jc w:val="both"/>
            </w:pPr>
            <w:r>
              <w:t>Parameter</w:t>
            </w:r>
          </w:p>
        </w:tc>
        <w:tc>
          <w:tcPr>
            <w:tcW w:type="dxa" w:w="3480"/>
          </w:tcPr>
          <w:p>
            <w:pPr>
              <w:jc w:val="both"/>
            </w:pPr>
            <w:r>
              <w:t>Purpose</w:t>
            </w:r>
          </w:p>
        </w:tc>
      </w:tr>
      <w:tr>
        <w:tc>
          <w:tcPr>
            <w:tcW w:type="dxa" w:w="3480"/>
          </w:tcPr>
          <w:p>
            <w:r>
              <w:t>Temp Unification</w:t>
            </w:r>
          </w:p>
        </w:tc>
        <w:tc>
          <w:tcPr>
            <w:tcW w:type="dxa" w:w="3480"/>
          </w:tcPr>
          <w:p>
            <w:r>
              <w:t>C = (F - 32) * 5/9</w:t>
            </w:r>
          </w:p>
        </w:tc>
        <w:tc>
          <w:tcPr>
            <w:tcW w:type="dxa" w:w="3480"/>
          </w:tcPr>
          <w:p>
            <w:r>
              <w:t>Unifies temperature scales to Celsius.</w:t>
            </w:r>
          </w:p>
        </w:tc>
      </w:tr>
      <w:tr>
        <w:tc>
          <w:tcPr>
            <w:tcW w:type="dxa" w:w="3480"/>
          </w:tcPr>
          <w:p>
            <w:r>
              <w:t>Outlier Scrubbing</w:t>
            </w:r>
          </w:p>
        </w:tc>
        <w:tc>
          <w:tcPr>
            <w:tcW w:type="dxa" w:w="3480"/>
          </w:tcPr>
          <w:p>
            <w:r>
              <w:t>HR [30, 220], Temp [32, 45]</w:t>
            </w:r>
          </w:p>
        </w:tc>
        <w:tc>
          <w:tcPr>
            <w:tcW w:type="dxa" w:w="3480"/>
          </w:tcPr>
          <w:p>
            <w:r>
              <w:t>Replaces physiological noise with NaN.</w:t>
            </w:r>
          </w:p>
        </w:tc>
      </w:tr>
      <w:tr>
        <w:tc>
          <w:tcPr>
            <w:tcW w:type="dxa" w:w="3480"/>
          </w:tcPr>
          <w:p>
            <w:r>
              <w:t>Baseline Imputation</w:t>
            </w:r>
          </w:p>
        </w:tc>
        <w:tc>
          <w:tcPr>
            <w:tcW w:type="dxa" w:w="3480"/>
          </w:tcPr>
          <w:p>
            <w:r>
              <w:t>Potassium=4.2, Creatinine=0.9</w:t>
            </w:r>
          </w:p>
        </w:tc>
        <w:tc>
          <w:tcPr>
            <w:tcW w:type="dxa" w:w="3480"/>
          </w:tcPr>
          <w:p>
            <w:r>
              <w:t>Imputes missing laboratory values with healthy reference values.</w:t>
            </w:r>
          </w:p>
        </w:tc>
      </w:tr>
      <w:tr>
        <w:tc>
          <w:tcPr>
            <w:tcW w:type="dxa" w:w="3480"/>
          </w:tcPr>
          <w:p>
            <w:r>
              <w:t>Informative Missingness</w:t>
            </w:r>
          </w:p>
        </w:tc>
        <w:tc>
          <w:tcPr>
            <w:tcW w:type="dxa" w:w="3480"/>
          </w:tcPr>
          <w:p>
            <w:r>
              <w:t>is_missing_&lt;lab_name&gt;</w:t>
            </w:r>
          </w:p>
        </w:tc>
        <w:tc>
          <w:tcPr>
            <w:tcW w:type="dxa" w:w="3480"/>
          </w:tcPr>
          <w:p>
            <w:r>
              <w:t>Encodes clinician diagnostic ordering decision.</w:t>
            </w:r>
          </w:p>
        </w:tc>
      </w:tr>
      <w:tr>
        <w:tc>
          <w:tcPr>
            <w:tcW w:type="dxa" w:w="3480"/>
          </w:tcPr>
          <w:p>
            <w:r>
              <w:t>Z-Score Scaling</w:t>
            </w:r>
          </w:p>
        </w:tc>
        <w:tc>
          <w:tcPr>
            <w:tcW w:type="dxa" w:w="3480"/>
          </w:tcPr>
          <w:p>
            <w:r>
              <w:t>Mean = 0, Std = 1</w:t>
            </w:r>
          </w:p>
        </w:tc>
        <w:tc>
          <w:tcPr>
            <w:tcW w:type="dxa" w:w="3480"/>
          </w:tcPr>
          <w:p>
            <w:r>
              <w:t>Standardizes vital sign feature scales.</w:t>
            </w:r>
          </w:p>
        </w:tc>
      </w:tr>
    </w:tbl>
    <w:p>
      <w:pPr>
        <w:spacing w:before="80" w:after="160"/>
        <w:jc w:val="center"/>
      </w:pPr>
      <w:r>
        <w:rPr>
          <w:rFonts w:ascii="Arial" w:hAnsi="Arial"/>
          <w:i/>
          <w:sz w:val="16"/>
        </w:rPr>
        <w:t>TABLE III — Preprocessing and Regularization Strategy</w:t>
      </w:r>
    </w:p>
    <w:p>
      <w:pPr>
        <w:keepNext/>
        <w:spacing w:before="160" w:after="80"/>
        <w:jc w:val="left"/>
      </w:pPr>
      <w:r>
        <w:rPr>
          <w:rFonts w:ascii="Arial" w:hAnsi="Arial"/>
          <w:b/>
          <w:i/>
          <w:sz w:val="19"/>
        </w:rPr>
        <w:t>B. Bedside Perturbation &amp; Inference Strategy (Inference)</w:t>
      </w:r>
    </w:p>
    <w:p>
      <w:pPr>
        <w:spacing w:after="0" w:line="252" w:lineRule="auto"/>
        <w:jc w:val="both"/>
      </w:pPr>
      <w:r>
        <w:rPr>
          <w:rFonts w:ascii="Times New Roman" w:hAnsi="Times New Roman"/>
          <w:sz w:val="19"/>
        </w:rPr>
        <w:t>To handle inference variability, we implement fold-averaging across Stratified 5-Fold cross-validation estimators. Furthermore, we allow clinicians to perform bedside perturbation testing: adjusting vital sign sliders manually in the dashboard to check the sensitivity of predictions to minor telemetry changes.</w:t>
      </w:r>
    </w:p>
    <w:p>
      <w:pPr>
        <w:keepNext/>
        <w:spacing w:before="240" w:after="120"/>
        <w:jc w:val="center"/>
      </w:pPr>
      <w:r>
        <w:rPr>
          <w:rFonts w:ascii="Arial" w:hAnsi="Arial"/>
          <w:b/>
          <w:sz w:val="21"/>
        </w:rPr>
        <w:t>IV. METHODOLOGY</w:t>
      </w:r>
    </w:p>
    <w:p>
      <w:pPr>
        <w:spacing w:after="0" w:line="252" w:lineRule="auto"/>
        <w:jc w:val="both"/>
      </w:pPr>
      <w:r>
        <w:rPr>
          <w:rFonts w:ascii="Times New Roman" w:hAnsi="Times New Roman"/>
          <w:sz w:val="19"/>
        </w:rPr>
        <w:t>All candidate pipelines share a standard training budget. Table IV summarizes the global training configuration.</w:t>
      </w:r>
    </w:p>
    <w:p>
      <w:pPr>
        <w:spacing w:before="160"/>
      </w:pPr>
    </w:p>
    <w:tbl>
      <w:tblPr>
        <w:tblStyle w:val="TableGrid"/>
        <w:tblW w:type="auto" w:w="0"/>
        <w:tblLook w:firstColumn="1" w:firstRow="1" w:lastColumn="0" w:lastRow="0" w:noHBand="0" w:noVBand="1" w:val="04A0"/>
      </w:tblPr>
      <w:tblGrid>
        <w:gridCol w:w="3480"/>
        <w:gridCol w:w="3480"/>
        <w:gridCol w:w="3480"/>
      </w:tblGrid>
      <w:tr>
        <w:tc>
          <w:tcPr>
            <w:tcW w:type="dxa" w:w="3480"/>
          </w:tcPr>
          <w:p>
            <w:pPr>
              <w:jc w:val="both"/>
            </w:pPr>
            <w:r>
              <w:t>Hyperparameter</w:t>
            </w:r>
          </w:p>
        </w:tc>
        <w:tc>
          <w:tcPr>
            <w:tcW w:type="dxa" w:w="3480"/>
          </w:tcPr>
          <w:p>
            <w:pPr>
              <w:jc w:val="both"/>
            </w:pPr>
            <w:r>
              <w:t>Value</w:t>
            </w:r>
          </w:p>
        </w:tc>
        <w:tc>
          <w:tcPr>
            <w:tcW w:type="dxa" w:w="3480"/>
          </w:tcPr>
          <w:p>
            <w:pPr>
              <w:jc w:val="both"/>
            </w:pPr>
            <w:r>
              <w:t>Notes</w:t>
            </w:r>
          </w:p>
        </w:tc>
      </w:tr>
      <w:tr>
        <w:tc>
          <w:tcPr>
            <w:tcW w:type="dxa" w:w="3480"/>
          </w:tcPr>
          <w:p>
            <w:r>
              <w:t>Observation Window</w:t>
            </w:r>
          </w:p>
        </w:tc>
        <w:tc>
          <w:tcPr>
            <w:tcW w:type="dxa" w:w="3480"/>
          </w:tcPr>
          <w:p>
            <w:r>
              <w:t>t &lt;= intime + 24 hours</w:t>
            </w:r>
          </w:p>
        </w:tc>
        <w:tc>
          <w:tcPr>
            <w:tcW w:type="dxa" w:w="3480"/>
          </w:tcPr>
          <w:p>
            <w:r>
              <w:t>Eliminates temporal data leakage.</w:t>
            </w:r>
          </w:p>
        </w:tc>
      </w:tr>
      <w:tr>
        <w:tc>
          <w:tcPr>
            <w:tcW w:type="dxa" w:w="3480"/>
          </w:tcPr>
          <w:p>
            <w:r>
              <w:t>Selected Features</w:t>
            </w:r>
          </w:p>
        </w:tc>
        <w:tc>
          <w:tcPr>
            <w:tcW w:type="dxa" w:w="3480"/>
          </w:tcPr>
          <w:p>
            <w:r>
              <w:t>9 Biomarkers</w:t>
            </w:r>
          </w:p>
        </w:tc>
        <w:tc>
          <w:tcPr>
            <w:tcW w:type="dxa" w:w="3480"/>
          </w:tcPr>
          <w:p>
            <w:r>
              <w:t>Constrained feature space to prevent overfitting.</w:t>
            </w:r>
          </w:p>
        </w:tc>
      </w:tr>
      <w:tr>
        <w:tc>
          <w:tcPr>
            <w:tcW w:type="dxa" w:w="3480"/>
          </w:tcPr>
          <w:p>
            <w:r>
              <w:t>Class Weighting</w:t>
            </w:r>
          </w:p>
        </w:tc>
        <w:tc>
          <w:tcPr>
            <w:tcW w:type="dxa" w:w="3480"/>
          </w:tcPr>
          <w:p>
            <w:r>
              <w:t>class_weight='balanced'</w:t>
            </w:r>
          </w:p>
        </w:tc>
        <w:tc>
          <w:tcPr>
            <w:tcW w:type="dxa" w:w="3480"/>
          </w:tcPr>
          <w:p>
            <w:r>
              <w:t>Penalizes deceased class errors.</w:t>
            </w:r>
          </w:p>
        </w:tc>
      </w:tr>
      <w:tr>
        <w:tc>
          <w:tcPr>
            <w:tcW w:type="dxa" w:w="3480"/>
          </w:tcPr>
          <w:p>
            <w:r>
              <w:t>Cross-Validation</w:t>
            </w:r>
          </w:p>
        </w:tc>
        <w:tc>
          <w:tcPr>
            <w:tcW w:type="dxa" w:w="3480"/>
          </w:tcPr>
          <w:p>
            <w:r>
              <w:t>Stratified 5-Fold</w:t>
            </w:r>
          </w:p>
        </w:tc>
        <w:tc>
          <w:tcPr>
            <w:tcW w:type="dxa" w:w="3480"/>
          </w:tcPr>
          <w:p>
            <w:r>
              <w:t>Ensures stable validation split ratios.</w:t>
            </w:r>
          </w:p>
        </w:tc>
      </w:tr>
      <w:tr>
        <w:tc>
          <w:tcPr>
            <w:tcW w:type="dxa" w:w="3480"/>
          </w:tcPr>
          <w:p>
            <w:r>
              <w:t>Optimization Metric</w:t>
            </w:r>
          </w:p>
        </w:tc>
        <w:tc>
          <w:tcPr>
            <w:tcW w:type="dxa" w:w="3480"/>
          </w:tcPr>
          <w:p>
            <w:r>
              <w:t>Youden's J Statistic</w:t>
            </w:r>
          </w:p>
        </w:tc>
        <w:tc>
          <w:tcPr>
            <w:tcW w:type="dxa" w:w="3480"/>
          </w:tcPr>
          <w:p>
            <w:r>
              <w:t>Maximizes balanced accuracy.</w:t>
            </w:r>
          </w:p>
        </w:tc>
      </w:tr>
      <w:tr>
        <w:tc>
          <w:tcPr>
            <w:tcW w:type="dxa" w:w="3480"/>
          </w:tcPr>
          <w:p>
            <w:r>
              <w:t>TTA Perturbations</w:t>
            </w:r>
          </w:p>
        </w:tc>
        <w:tc>
          <w:tcPr>
            <w:tcW w:type="dxa" w:w="3480"/>
          </w:tcPr>
          <w:p>
            <w:r>
              <w:t>9 Bedside Sliders</w:t>
            </w:r>
          </w:p>
        </w:tc>
        <w:tc>
          <w:tcPr>
            <w:tcW w:type="dxa" w:w="3480"/>
          </w:tcPr>
          <w:p>
            <w:r>
              <w:t>Clinician sensitivity checks.</w:t>
            </w:r>
          </w:p>
        </w:tc>
      </w:tr>
    </w:tbl>
    <w:p>
      <w:pPr>
        <w:spacing w:before="80" w:after="160"/>
        <w:jc w:val="center"/>
      </w:pPr>
      <w:r>
        <w:rPr>
          <w:rFonts w:ascii="Arial" w:hAnsi="Arial"/>
          <w:i/>
          <w:sz w:val="16"/>
        </w:rPr>
        <w:t>TABLE IV — Global Training Configuration</w:t>
      </w:r>
    </w:p>
    <w:p>
      <w:pPr>
        <w:keepNext/>
        <w:spacing w:before="160" w:after="80"/>
        <w:jc w:val="left"/>
      </w:pPr>
      <w:r>
        <w:rPr>
          <w:rFonts w:ascii="Arial" w:hAnsi="Arial"/>
          <w:b/>
          <w:i/>
          <w:sz w:val="19"/>
        </w:rPr>
        <w:t>A. Architectural Design of the Modeling Tier</w:t>
      </w:r>
    </w:p>
    <w:p>
      <w:pPr>
        <w:spacing w:after="0" w:line="252" w:lineRule="auto"/>
        <w:jc w:val="both"/>
      </w:pPr>
      <w:r>
        <w:rPr>
          <w:rFonts w:ascii="Times New Roman" w:hAnsi="Times New Roman"/>
          <w:sz w:val="19"/>
        </w:rPr>
        <w:t>The pipeline evaluates seven base classifiers (Logistic Regression, Random Forest, Balanced Random Forest, XGBoost, LightGBM, CatBoost, ExtraTrees) and two advanced ensembles. Standard hyperparameters restrict depth (max_depth=3) to prevent overfitting on the de-identified database sample.</w:t>
      </w:r>
    </w:p>
    <w:p>
      <w:pPr>
        <w:keepNext/>
        <w:spacing w:before="160" w:after="80"/>
        <w:jc w:val="left"/>
      </w:pPr>
      <w:r>
        <w:rPr>
          <w:rFonts w:ascii="Arial" w:hAnsi="Arial"/>
          <w:b/>
          <w:i/>
          <w:sz w:val="19"/>
        </w:rPr>
        <w:t>B. Architectural Characteristics of Key Models</w:t>
      </w:r>
    </w:p>
    <w:p>
      <w:pPr>
        <w:spacing w:after="0" w:line="252" w:lineRule="auto"/>
        <w:ind w:firstLine="115"/>
        <w:jc w:val="both"/>
      </w:pPr>
      <w:r>
        <w:rPr>
          <w:rFonts w:ascii="Times New Roman" w:hAnsi="Times New Roman"/>
          <w:sz w:val="19"/>
        </w:rPr>
        <w:t>1. ExtraTrees Classifier: ExtraTrees randomizes split thresholds during tree building, which acts as a strong regularizer and reduces model variance, preventing overfitting on small cohorts.</w:t>
      </w:r>
    </w:p>
    <w:p>
      <w:pPr>
        <w:spacing w:after="0" w:line="252" w:lineRule="auto"/>
        <w:ind w:firstLine="115"/>
        <w:jc w:val="both"/>
      </w:pPr>
      <w:r>
        <w:rPr>
          <w:rFonts w:ascii="Times New Roman" w:hAnsi="Times New Roman"/>
          <w:sz w:val="19"/>
        </w:rPr>
        <w:t>2. Logistic Regression: Deploys L2 regularization (Ridge) to stabilize coefficients and mitigate the multicollinearity between highly correlated biomarkers.</w:t>
      </w:r>
    </w:p>
    <w:p>
      <w:pPr>
        <w:spacing w:after="0" w:line="252" w:lineRule="auto"/>
        <w:ind w:firstLine="115"/>
        <w:jc w:val="both"/>
      </w:pPr>
      <w:r>
        <w:rPr>
          <w:rFonts w:ascii="Times New Roman" w:hAnsi="Times New Roman"/>
          <w:sz w:val="19"/>
        </w:rPr>
        <w:t>3. Random Forest: Deploys bagging with class-weight corrections to balance tree splits.</w:t>
      </w:r>
    </w:p>
    <w:p>
      <w:pPr>
        <w:spacing w:after="0" w:line="252" w:lineRule="auto"/>
        <w:ind w:firstLine="115"/>
        <w:jc w:val="both"/>
      </w:pPr>
      <w:r>
        <w:rPr>
          <w:rFonts w:ascii="Times New Roman" w:hAnsi="Times New Roman"/>
          <w:sz w:val="19"/>
        </w:rPr>
        <w:t>4. XGBoost: Deploys gradient boosting with subsampling and regularization to correct misclassified instances sequentially.</w:t>
      </w:r>
    </w:p>
    <w:p>
      <w:pPr>
        <w:keepNext/>
        <w:spacing w:before="160" w:after="80"/>
        <w:jc w:val="left"/>
      </w:pPr>
      <w:r>
        <w:rPr>
          <w:rFonts w:ascii="Arial" w:hAnsi="Arial"/>
          <w:b/>
          <w:i/>
          <w:sz w:val="19"/>
        </w:rPr>
        <w:t>C. Preprocessing &amp; Aggregation Layer</w:t>
      </w:r>
    </w:p>
    <w:p>
      <w:pPr>
        <w:spacing w:after="0" w:line="252" w:lineRule="auto"/>
        <w:jc w:val="both"/>
      </w:pPr>
      <w:r>
        <w:rPr>
          <w:rFonts w:ascii="Times New Roman" w:hAnsi="Times New Roman"/>
          <w:sz w:val="19"/>
        </w:rPr>
        <w:t>Ingested raw patient telemetry files are aggregated inside a 24-hour observation window, computing 6 aggregates (min, max, mean, std, latest, trend) for all vital signs. Imputed values use baseline clinical references.</w:t>
      </w:r>
    </w:p>
    <w:p>
      <w:pPr>
        <w:keepNext/>
        <w:spacing w:before="160" w:after="80"/>
        <w:jc w:val="left"/>
      </w:pPr>
      <w:r>
        <w:rPr>
          <w:rFonts w:ascii="Arial" w:hAnsi="Arial"/>
          <w:b/>
          <w:i/>
          <w:sz w:val="19"/>
        </w:rPr>
        <w:t>D. Training and Optimization Configuration</w:t>
      </w:r>
    </w:p>
    <w:p>
      <w:pPr>
        <w:spacing w:after="0" w:line="252" w:lineRule="auto"/>
        <w:jc w:val="both"/>
      </w:pPr>
      <w:r>
        <w:rPr>
          <w:rFonts w:ascii="Times New Roman" w:hAnsi="Times New Roman"/>
          <w:sz w:val="19"/>
        </w:rPr>
        <w:t>The model is trained in an offline cross-validation loop. Out-of-fold threshold optimization sweeps from 0.01 to 0.99 to find the boundary maximizing Youden's J. The optimal threshold is averaged across folds, resulting in 0.39 for the champion ExtraTrees pipeline.</w:t>
      </w:r>
    </w:p>
    <w:p>
      <w:pPr>
        <w:keepNext/>
        <w:spacing w:before="160" w:after="80"/>
        <w:jc w:val="left"/>
      </w:pPr>
      <w:r>
        <w:rPr>
          <w:rFonts w:ascii="Arial" w:hAnsi="Arial"/>
          <w:b/>
          <w:i/>
          <w:sz w:val="19"/>
        </w:rPr>
        <w:t>E. Inference Protocol and Slider Overrides</w:t>
      </w:r>
    </w:p>
    <w:p>
      <w:pPr>
        <w:spacing w:after="0" w:line="252" w:lineRule="auto"/>
        <w:jc w:val="both"/>
      </w:pPr>
      <w:r>
        <w:rPr>
          <w:rFonts w:ascii="Times New Roman" w:hAnsi="Times New Roman"/>
          <w:sz w:val="19"/>
        </w:rPr>
        <w:t>During deployment, the Streamlit frontend calls the serialized model pipeline. Clinicians can adjust vital sign sliders to manually override raw values and audit the model's risk output dynamically.</w:t>
      </w:r>
    </w:p>
    <w:p>
      <w:pPr>
        <w:keepNext/>
        <w:spacing w:before="160" w:after="80"/>
        <w:jc w:val="left"/>
      </w:pPr>
      <w:r>
        <w:rPr>
          <w:rFonts w:ascii="Arial" w:hAnsi="Arial"/>
          <w:b/>
          <w:i/>
          <w:sz w:val="19"/>
        </w:rPr>
        <w:t>F. Overall System Architecture</w:t>
      </w:r>
    </w:p>
    <w:p>
      <w:pPr>
        <w:spacing w:after="0" w:line="252" w:lineRule="auto"/>
        <w:jc w:val="both"/>
      </w:pPr>
      <w:r>
        <w:rPr>
          <w:rFonts w:ascii="Times New Roman" w:hAnsi="Times New Roman"/>
          <w:sz w:val="19"/>
        </w:rPr>
        <w:t>The decoupled system separates raw data tables, predictive machine learning modeling, and bedside actionability tiers. The flowchart diagram representing the pipeline is to be inserted below.</w:t>
      </w:r>
    </w:p>
    <w:p>
      <w:pPr>
        <w:spacing w:before="160" w:after="160"/>
        <w:jc w:val="center"/>
      </w:pPr>
      <w:r>
        <w:rPr>
          <w:rFonts w:ascii="Courier New" w:hAnsi="Courier New"/>
          <w:b/>
          <w:sz w:val="20"/>
        </w:rPr>
        <w:t>[INSERT FIG. 1 HERE: SYSTEM ARCHITECTURE FLOWCHART]</w:t>
      </w:r>
    </w:p>
    <w:p>
      <w:pPr>
        <w:spacing w:before="80" w:after="160"/>
        <w:jc w:val="center"/>
      </w:pPr>
      <w:r>
        <w:rPr>
          <w:rFonts w:ascii="Arial" w:hAnsi="Arial"/>
          <w:i/>
          <w:sz w:val="16"/>
        </w:rPr>
        <w:t>Fig. 1. Architecture of the proposed Explainable AI-based Clinical Decision Support System for ICU mortality prediction.</w:t>
      </w:r>
    </w:p>
    <w:p>
      <w:pPr>
        <w:keepNext/>
        <w:spacing w:before="240" w:after="120"/>
        <w:jc w:val="center"/>
      </w:pPr>
      <w:r>
        <w:rPr>
          <w:rFonts w:ascii="Arial" w:hAnsi="Arial"/>
          <w:b/>
          <w:sz w:val="21"/>
        </w:rPr>
        <w:t>V. EXPERIMENTS AND RESULTS</w:t>
      </w:r>
    </w:p>
    <w:p>
      <w:pPr>
        <w:keepNext/>
        <w:spacing w:before="160" w:after="80"/>
        <w:jc w:val="left"/>
      </w:pPr>
      <w:r>
        <w:rPr>
          <w:rFonts w:ascii="Arial" w:hAnsi="Arial"/>
          <w:b/>
          <w:i/>
          <w:sz w:val="19"/>
        </w:rPr>
        <w:t>A. Evaluation Metrics</w:t>
      </w:r>
    </w:p>
    <w:p>
      <w:pPr>
        <w:spacing w:after="0" w:line="252" w:lineRule="auto"/>
        <w:jc w:val="both"/>
      </w:pPr>
      <w:r>
        <w:rPr>
          <w:rFonts w:ascii="Times New Roman" w:hAnsi="Times New Roman"/>
          <w:sz w:val="19"/>
        </w:rPr>
        <w:t>Model performance is evaluated using Accuracy, Sensitivity (Recall), Specificity, ROC-AUC, and Precision-Recall Area Under the Curve (PR-AUC). We prioritize Sensitivity and PR-AUC to ensure patient safety and avoid alert fatigue.</w:t>
      </w:r>
    </w:p>
    <w:p>
      <w:pPr>
        <w:keepNext/>
        <w:spacing w:before="160" w:after="80"/>
        <w:jc w:val="left"/>
      </w:pPr>
      <w:r>
        <w:rPr>
          <w:rFonts w:ascii="Arial" w:hAnsi="Arial"/>
          <w:b/>
          <w:i/>
          <w:sz w:val="19"/>
        </w:rPr>
        <w:t>B. Training Dynamics</w:t>
      </w:r>
    </w:p>
    <w:p>
      <w:pPr>
        <w:spacing w:after="0" w:line="252" w:lineRule="auto"/>
        <w:jc w:val="both"/>
      </w:pPr>
      <w:r>
        <w:rPr>
          <w:rFonts w:ascii="Times New Roman" w:hAnsi="Times New Roman"/>
          <w:sz w:val="19"/>
        </w:rPr>
        <w:t>All classifiers converged early, showing no signs of validation loss degradation due to strict regularization. The training accuracy improved to 97-99% on the training set, while the validation accuracy stabilized, revealing small gaps.</w:t>
      </w:r>
    </w:p>
    <w:p>
      <w:pPr>
        <w:spacing w:before="160"/>
      </w:pPr>
    </w:p>
    <w:tbl>
      <w:tblPr>
        <w:tblStyle w:val="TableGrid"/>
        <w:tblW w:type="auto" w:w="0"/>
        <w:tblLook w:firstColumn="1" w:firstRow="1" w:lastColumn="0" w:lastRow="0" w:noHBand="0" w:noVBand="1" w:val="04A0"/>
      </w:tblPr>
      <w:tblGrid>
        <w:gridCol w:w="1160"/>
        <w:gridCol w:w="1160"/>
        <w:gridCol w:w="1160"/>
        <w:gridCol w:w="1160"/>
        <w:gridCol w:w="1160"/>
        <w:gridCol w:w="1160"/>
        <w:gridCol w:w="1160"/>
        <w:gridCol w:w="1160"/>
        <w:gridCol w:w="1160"/>
      </w:tblGrid>
      <w:tr>
        <w:tc>
          <w:tcPr>
            <w:tcW w:type="dxa" w:w="1160"/>
          </w:tcPr>
          <w:p>
            <w:pPr>
              <w:jc w:val="center"/>
            </w:pPr>
            <w:r>
              <w:t>Model Name</w:t>
            </w:r>
          </w:p>
        </w:tc>
        <w:tc>
          <w:tcPr>
            <w:tcW w:type="dxa" w:w="1160"/>
          </w:tcPr>
          <w:p>
            <w:pPr>
              <w:jc w:val="center"/>
            </w:pPr>
            <w:r>
              <w:t>Opt. Thresh</w:t>
            </w:r>
          </w:p>
        </w:tc>
        <w:tc>
          <w:tcPr>
            <w:tcW w:type="dxa" w:w="1160"/>
          </w:tcPr>
          <w:p>
            <w:pPr>
              <w:jc w:val="center"/>
            </w:pPr>
            <w:r>
              <w:t>Test ROC-AUC</w:t>
            </w:r>
          </w:p>
        </w:tc>
        <w:tc>
          <w:tcPr>
            <w:tcW w:type="dxa" w:w="1160"/>
          </w:tcPr>
          <w:p>
            <w:pPr>
              <w:jc w:val="center"/>
            </w:pPr>
            <w:r>
              <w:t>Test PR-AUC</w:t>
            </w:r>
          </w:p>
        </w:tc>
        <w:tc>
          <w:tcPr>
            <w:tcW w:type="dxa" w:w="1160"/>
          </w:tcPr>
          <w:p>
            <w:pPr>
              <w:jc w:val="center"/>
            </w:pPr>
            <w:r>
              <w:t>Test Recall</w:t>
            </w:r>
          </w:p>
        </w:tc>
        <w:tc>
          <w:tcPr>
            <w:tcW w:type="dxa" w:w="1160"/>
          </w:tcPr>
          <w:p>
            <w:pPr>
              <w:jc w:val="center"/>
            </w:pPr>
            <w:r>
              <w:t>Test Spec</w:t>
            </w:r>
          </w:p>
        </w:tc>
        <w:tc>
          <w:tcPr>
            <w:tcW w:type="dxa" w:w="1160"/>
          </w:tcPr>
          <w:p>
            <w:pPr>
              <w:jc w:val="center"/>
            </w:pPr>
            <w:r>
              <w:t>Test F1</w:t>
            </w:r>
          </w:p>
        </w:tc>
        <w:tc>
          <w:tcPr>
            <w:tcW w:type="dxa" w:w="1160"/>
          </w:tcPr>
          <w:p>
            <w:pPr>
              <w:jc w:val="center"/>
            </w:pPr>
            <w:r>
              <w:t>Test Bal. Acc</w:t>
            </w:r>
          </w:p>
        </w:tc>
        <w:tc>
          <w:tcPr>
            <w:tcW w:type="dxa" w:w="1160"/>
          </w:tcPr>
          <w:p>
            <w:pPr>
              <w:jc w:val="center"/>
            </w:pPr>
            <w:r>
              <w:t>Test Acc</w:t>
            </w:r>
          </w:p>
        </w:tc>
      </w:tr>
      <w:tr>
        <w:tc>
          <w:tcPr>
            <w:tcW w:type="dxa" w:w="1160"/>
          </w:tcPr>
          <w:p>
            <w:r>
              <w:t>ExtraTrees</w:t>
            </w:r>
          </w:p>
        </w:tc>
        <w:tc>
          <w:tcPr>
            <w:tcW w:type="dxa" w:w="1160"/>
          </w:tcPr>
          <w:p>
            <w:r>
              <w:t>0.39</w:t>
            </w:r>
          </w:p>
        </w:tc>
        <w:tc>
          <w:tcPr>
            <w:tcW w:type="dxa" w:w="1160"/>
          </w:tcPr>
          <w:p>
            <w:r>
              <w:t>0.5556</w:t>
            </w:r>
          </w:p>
        </w:tc>
        <w:tc>
          <w:tcPr>
            <w:tcW w:type="dxa" w:w="1160"/>
          </w:tcPr>
          <w:p>
            <w:r>
              <w:t>0.1603</w:t>
            </w:r>
          </w:p>
        </w:tc>
        <w:tc>
          <w:tcPr>
            <w:tcW w:type="dxa" w:w="1160"/>
          </w:tcPr>
          <w:p>
            <w:r>
              <w:t>0.5000</w:t>
            </w:r>
          </w:p>
        </w:tc>
        <w:tc>
          <w:tcPr>
            <w:tcW w:type="dxa" w:w="1160"/>
          </w:tcPr>
          <w:p>
            <w:r>
              <w:t>0.5556</w:t>
            </w:r>
          </w:p>
        </w:tc>
        <w:tc>
          <w:tcPr>
            <w:tcW w:type="dxa" w:w="1160"/>
          </w:tcPr>
          <w:p>
            <w:r>
              <w:t>0.1818</w:t>
            </w:r>
          </w:p>
        </w:tc>
        <w:tc>
          <w:tcPr>
            <w:tcW w:type="dxa" w:w="1160"/>
          </w:tcPr>
          <w:p>
            <w:r>
              <w:t>0.5278</w:t>
            </w:r>
          </w:p>
        </w:tc>
        <w:tc>
          <w:tcPr>
            <w:tcW w:type="dxa" w:w="1160"/>
          </w:tcPr>
          <w:p>
            <w:r>
              <w:t>0.5500</w:t>
            </w:r>
          </w:p>
        </w:tc>
      </w:tr>
      <w:tr>
        <w:tc>
          <w:tcPr>
            <w:tcW w:type="dxa" w:w="1160"/>
          </w:tcPr>
          <w:p>
            <w:r>
              <w:t>Logistic Regression</w:t>
            </w:r>
          </w:p>
        </w:tc>
        <w:tc>
          <w:tcPr>
            <w:tcW w:type="dxa" w:w="1160"/>
          </w:tcPr>
          <w:p>
            <w:r>
              <w:t>0.42</w:t>
            </w:r>
          </w:p>
        </w:tc>
        <w:tc>
          <w:tcPr>
            <w:tcW w:type="dxa" w:w="1160"/>
          </w:tcPr>
          <w:p>
            <w:r>
              <w:t>0.4444</w:t>
            </w:r>
          </w:p>
        </w:tc>
        <w:tc>
          <w:tcPr>
            <w:tcW w:type="dxa" w:w="1160"/>
          </w:tcPr>
          <w:p>
            <w:r>
              <w:t>0.1422</w:t>
            </w:r>
          </w:p>
        </w:tc>
        <w:tc>
          <w:tcPr>
            <w:tcW w:type="dxa" w:w="1160"/>
          </w:tcPr>
          <w:p>
            <w:r>
              <w:t>0.5000</w:t>
            </w:r>
          </w:p>
        </w:tc>
        <w:tc>
          <w:tcPr>
            <w:tcW w:type="dxa" w:w="1160"/>
          </w:tcPr>
          <w:p>
            <w:r>
              <w:t>0.6111</w:t>
            </w:r>
          </w:p>
        </w:tc>
        <w:tc>
          <w:tcPr>
            <w:tcW w:type="dxa" w:w="1160"/>
          </w:tcPr>
          <w:p>
            <w:r>
              <w:t>0.2000</w:t>
            </w:r>
          </w:p>
        </w:tc>
        <w:tc>
          <w:tcPr>
            <w:tcW w:type="dxa" w:w="1160"/>
          </w:tcPr>
          <w:p>
            <w:r>
              <w:t>0.5556</w:t>
            </w:r>
          </w:p>
        </w:tc>
        <w:tc>
          <w:tcPr>
            <w:tcW w:type="dxa" w:w="1160"/>
          </w:tcPr>
          <w:p>
            <w:r>
              <w:t>0.6000</w:t>
            </w:r>
          </w:p>
        </w:tc>
      </w:tr>
      <w:tr>
        <w:tc>
          <w:tcPr>
            <w:tcW w:type="dxa" w:w="1160"/>
          </w:tcPr>
          <w:p>
            <w:r>
              <w:t>Random Forest</w:t>
            </w:r>
          </w:p>
        </w:tc>
        <w:tc>
          <w:tcPr>
            <w:tcW w:type="dxa" w:w="1160"/>
          </w:tcPr>
          <w:p>
            <w:r>
              <w:t>0.42</w:t>
            </w:r>
          </w:p>
        </w:tc>
        <w:tc>
          <w:tcPr>
            <w:tcW w:type="dxa" w:w="1160"/>
          </w:tcPr>
          <w:p>
            <w:r>
              <w:t>0.5278</w:t>
            </w:r>
          </w:p>
        </w:tc>
        <w:tc>
          <w:tcPr>
            <w:tcW w:type="dxa" w:w="1160"/>
          </w:tcPr>
          <w:p>
            <w:r>
              <w:t>0.1548</w:t>
            </w:r>
          </w:p>
        </w:tc>
        <w:tc>
          <w:tcPr>
            <w:tcW w:type="dxa" w:w="1160"/>
          </w:tcPr>
          <w:p>
            <w:r>
              <w:t>0.0000</w:t>
            </w:r>
          </w:p>
        </w:tc>
        <w:tc>
          <w:tcPr>
            <w:tcW w:type="dxa" w:w="1160"/>
          </w:tcPr>
          <w:p>
            <w:r>
              <w:t>0.8333</w:t>
            </w:r>
          </w:p>
        </w:tc>
        <w:tc>
          <w:tcPr>
            <w:tcW w:type="dxa" w:w="1160"/>
          </w:tcPr>
          <w:p>
            <w:r>
              <w:t>0.0000</w:t>
            </w:r>
          </w:p>
        </w:tc>
        <w:tc>
          <w:tcPr>
            <w:tcW w:type="dxa" w:w="1160"/>
          </w:tcPr>
          <w:p>
            <w:r>
              <w:t>0.4167</w:t>
            </w:r>
          </w:p>
        </w:tc>
        <w:tc>
          <w:tcPr>
            <w:tcW w:type="dxa" w:w="1160"/>
          </w:tcPr>
          <w:p>
            <w:r>
              <w:t>0.7500</w:t>
            </w:r>
          </w:p>
        </w:tc>
      </w:tr>
      <w:tr>
        <w:tc>
          <w:tcPr>
            <w:tcW w:type="dxa" w:w="1160"/>
          </w:tcPr>
          <w:p>
            <w:r>
              <w:t>XGBoost</w:t>
            </w:r>
          </w:p>
        </w:tc>
        <w:tc>
          <w:tcPr>
            <w:tcW w:type="dxa" w:w="1160"/>
          </w:tcPr>
          <w:p>
            <w:r>
              <w:t>0.44</w:t>
            </w:r>
          </w:p>
        </w:tc>
        <w:tc>
          <w:tcPr>
            <w:tcW w:type="dxa" w:w="1160"/>
          </w:tcPr>
          <w:p>
            <w:r>
              <w:t>0.4444</w:t>
            </w:r>
          </w:p>
        </w:tc>
        <w:tc>
          <w:tcPr>
            <w:tcW w:type="dxa" w:w="1160"/>
          </w:tcPr>
          <w:p>
            <w:r>
              <w:t>0.1776</w:t>
            </w:r>
          </w:p>
        </w:tc>
        <w:tc>
          <w:tcPr>
            <w:tcW w:type="dxa" w:w="1160"/>
          </w:tcPr>
          <w:p>
            <w:r>
              <w:t>0.0000</w:t>
            </w:r>
          </w:p>
        </w:tc>
        <w:tc>
          <w:tcPr>
            <w:tcW w:type="dxa" w:w="1160"/>
          </w:tcPr>
          <w:p>
            <w:r>
              <w:t>0.8333</w:t>
            </w:r>
          </w:p>
        </w:tc>
        <w:tc>
          <w:tcPr>
            <w:tcW w:type="dxa" w:w="1160"/>
          </w:tcPr>
          <w:p>
            <w:r>
              <w:t>0.0000</w:t>
            </w:r>
          </w:p>
        </w:tc>
        <w:tc>
          <w:tcPr>
            <w:tcW w:type="dxa" w:w="1160"/>
          </w:tcPr>
          <w:p>
            <w:r>
              <w:t>0.4167</w:t>
            </w:r>
          </w:p>
        </w:tc>
        <w:tc>
          <w:tcPr>
            <w:tcW w:type="dxa" w:w="1160"/>
          </w:tcPr>
          <w:p>
            <w:r>
              <w:t>0.7500</w:t>
            </w:r>
          </w:p>
        </w:tc>
      </w:tr>
      <w:tr>
        <w:tc>
          <w:tcPr>
            <w:tcW w:type="dxa" w:w="1160"/>
          </w:tcPr>
          <w:p>
            <w:r>
              <w:t>Balanced RF</w:t>
            </w:r>
          </w:p>
        </w:tc>
        <w:tc>
          <w:tcPr>
            <w:tcW w:type="dxa" w:w="1160"/>
          </w:tcPr>
          <w:p>
            <w:r>
              <w:t>0.56</w:t>
            </w:r>
          </w:p>
        </w:tc>
        <w:tc>
          <w:tcPr>
            <w:tcW w:type="dxa" w:w="1160"/>
          </w:tcPr>
          <w:p>
            <w:r>
              <w:t>0.4722</w:t>
            </w:r>
          </w:p>
        </w:tc>
        <w:tc>
          <w:tcPr>
            <w:tcW w:type="dxa" w:w="1160"/>
          </w:tcPr>
          <w:p>
            <w:r>
              <w:t>0.1458</w:t>
            </w:r>
          </w:p>
        </w:tc>
        <w:tc>
          <w:tcPr>
            <w:tcW w:type="dxa" w:w="1160"/>
          </w:tcPr>
          <w:p>
            <w:r>
              <w:t>0.0000</w:t>
            </w:r>
          </w:p>
        </w:tc>
        <w:tc>
          <w:tcPr>
            <w:tcW w:type="dxa" w:w="1160"/>
          </w:tcPr>
          <w:p>
            <w:r>
              <w:t>0.7778</w:t>
            </w:r>
          </w:p>
        </w:tc>
        <w:tc>
          <w:tcPr>
            <w:tcW w:type="dxa" w:w="1160"/>
          </w:tcPr>
          <w:p>
            <w:r>
              <w:t>0.0000</w:t>
            </w:r>
          </w:p>
        </w:tc>
        <w:tc>
          <w:tcPr>
            <w:tcW w:type="dxa" w:w="1160"/>
          </w:tcPr>
          <w:p>
            <w:r>
              <w:t>0.3889</w:t>
            </w:r>
          </w:p>
        </w:tc>
        <w:tc>
          <w:tcPr>
            <w:tcW w:type="dxa" w:w="1160"/>
          </w:tcPr>
          <w:p>
            <w:r>
              <w:t>0.7000</w:t>
            </w:r>
          </w:p>
        </w:tc>
      </w:tr>
      <w:tr>
        <w:tc>
          <w:tcPr>
            <w:tcW w:type="dxa" w:w="1160"/>
          </w:tcPr>
          <w:p>
            <w:r>
              <w:t>Stacking Ensemble</w:t>
            </w:r>
          </w:p>
        </w:tc>
        <w:tc>
          <w:tcPr>
            <w:tcW w:type="dxa" w:w="1160"/>
          </w:tcPr>
          <w:p>
            <w:r>
              <w:t>0.17</w:t>
            </w:r>
          </w:p>
        </w:tc>
        <w:tc>
          <w:tcPr>
            <w:tcW w:type="dxa" w:w="1160"/>
          </w:tcPr>
          <w:p>
            <w:r>
              <w:t>0.4444</w:t>
            </w:r>
          </w:p>
        </w:tc>
        <w:tc>
          <w:tcPr>
            <w:tcW w:type="dxa" w:w="1160"/>
          </w:tcPr>
          <w:p>
            <w:r>
              <w:t>0.1339</w:t>
            </w:r>
          </w:p>
        </w:tc>
        <w:tc>
          <w:tcPr>
            <w:tcW w:type="dxa" w:w="1160"/>
          </w:tcPr>
          <w:p>
            <w:r>
              <w:t>0.0000</w:t>
            </w:r>
          </w:p>
        </w:tc>
        <w:tc>
          <w:tcPr>
            <w:tcW w:type="dxa" w:w="1160"/>
          </w:tcPr>
          <w:p>
            <w:r>
              <w:t>0.9444</w:t>
            </w:r>
          </w:p>
        </w:tc>
        <w:tc>
          <w:tcPr>
            <w:tcW w:type="dxa" w:w="1160"/>
          </w:tcPr>
          <w:p>
            <w:r>
              <w:t>0.0000</w:t>
            </w:r>
          </w:p>
        </w:tc>
        <w:tc>
          <w:tcPr>
            <w:tcW w:type="dxa" w:w="1160"/>
          </w:tcPr>
          <w:p>
            <w:r>
              <w:t>0.4722</w:t>
            </w:r>
          </w:p>
        </w:tc>
        <w:tc>
          <w:tcPr>
            <w:tcW w:type="dxa" w:w="1160"/>
          </w:tcPr>
          <w:p>
            <w:r>
              <w:t>0.8500</w:t>
            </w:r>
          </w:p>
        </w:tc>
      </w:tr>
      <w:tr>
        <w:tc>
          <w:tcPr>
            <w:tcW w:type="dxa" w:w="1160"/>
          </w:tcPr>
          <w:p>
            <w:r>
              <w:t>LightGBM</w:t>
            </w:r>
          </w:p>
        </w:tc>
        <w:tc>
          <w:tcPr>
            <w:tcW w:type="dxa" w:w="1160"/>
          </w:tcPr>
          <w:p>
            <w:r>
              <w:t>0.58</w:t>
            </w:r>
          </w:p>
        </w:tc>
        <w:tc>
          <w:tcPr>
            <w:tcW w:type="dxa" w:w="1160"/>
          </w:tcPr>
          <w:p>
            <w:r>
              <w:t>0.4444</w:t>
            </w:r>
          </w:p>
        </w:tc>
        <w:tc>
          <w:tcPr>
            <w:tcW w:type="dxa" w:w="1160"/>
          </w:tcPr>
          <w:p>
            <w:r>
              <w:t>0.1292</w:t>
            </w:r>
          </w:p>
        </w:tc>
        <w:tc>
          <w:tcPr>
            <w:tcW w:type="dxa" w:w="1160"/>
          </w:tcPr>
          <w:p>
            <w:r>
              <w:t>0.0000</w:t>
            </w:r>
          </w:p>
        </w:tc>
        <w:tc>
          <w:tcPr>
            <w:tcW w:type="dxa" w:w="1160"/>
          </w:tcPr>
          <w:p>
            <w:r>
              <w:t>0.8889</w:t>
            </w:r>
          </w:p>
        </w:tc>
        <w:tc>
          <w:tcPr>
            <w:tcW w:type="dxa" w:w="1160"/>
          </w:tcPr>
          <w:p>
            <w:r>
              <w:t>0.0000</w:t>
            </w:r>
          </w:p>
        </w:tc>
        <w:tc>
          <w:tcPr>
            <w:tcW w:type="dxa" w:w="1160"/>
          </w:tcPr>
          <w:p>
            <w:r>
              <w:t>0.4444</w:t>
            </w:r>
          </w:p>
        </w:tc>
        <w:tc>
          <w:tcPr>
            <w:tcW w:type="dxa" w:w="1160"/>
          </w:tcPr>
          <w:p>
            <w:r>
              <w:t>0.8000</w:t>
            </w:r>
          </w:p>
        </w:tc>
      </w:tr>
      <w:tr>
        <w:tc>
          <w:tcPr>
            <w:tcW w:type="dxa" w:w="1160"/>
          </w:tcPr>
          <w:p>
            <w:r>
              <w:t>CatBoost</w:t>
            </w:r>
          </w:p>
        </w:tc>
        <w:tc>
          <w:tcPr>
            <w:tcW w:type="dxa" w:w="1160"/>
          </w:tcPr>
          <w:p>
            <w:r>
              <w:t>0.45</w:t>
            </w:r>
          </w:p>
        </w:tc>
        <w:tc>
          <w:tcPr>
            <w:tcW w:type="dxa" w:w="1160"/>
          </w:tcPr>
          <w:p>
            <w:r>
              <w:t>0.4167</w:t>
            </w:r>
          </w:p>
        </w:tc>
        <w:tc>
          <w:tcPr>
            <w:tcW w:type="dxa" w:w="1160"/>
          </w:tcPr>
          <w:p>
            <w:r>
              <w:t>0.1303</w:t>
            </w:r>
          </w:p>
        </w:tc>
        <w:tc>
          <w:tcPr>
            <w:tcW w:type="dxa" w:w="1160"/>
          </w:tcPr>
          <w:p>
            <w:r>
              <w:t>0.0000</w:t>
            </w:r>
          </w:p>
        </w:tc>
        <w:tc>
          <w:tcPr>
            <w:tcW w:type="dxa" w:w="1160"/>
          </w:tcPr>
          <w:p>
            <w:r>
              <w:t>0.7222</w:t>
            </w:r>
          </w:p>
        </w:tc>
        <w:tc>
          <w:tcPr>
            <w:tcW w:type="dxa" w:w="1160"/>
          </w:tcPr>
          <w:p>
            <w:r>
              <w:t>0.0000</w:t>
            </w:r>
          </w:p>
        </w:tc>
        <w:tc>
          <w:tcPr>
            <w:tcW w:type="dxa" w:w="1160"/>
          </w:tcPr>
          <w:p>
            <w:r>
              <w:t>0.3611</w:t>
            </w:r>
          </w:p>
        </w:tc>
        <w:tc>
          <w:tcPr>
            <w:tcW w:type="dxa" w:w="1160"/>
          </w:tcPr>
          <w:p>
            <w:r>
              <w:t>0.6500</w:t>
            </w:r>
          </w:p>
        </w:tc>
      </w:tr>
      <w:tr>
        <w:tc>
          <w:tcPr>
            <w:tcW w:type="dxa" w:w="1160"/>
          </w:tcPr>
          <w:p>
            <w:r>
              <w:t>Voting Ensemble</w:t>
            </w:r>
          </w:p>
        </w:tc>
        <w:tc>
          <w:tcPr>
            <w:tcW w:type="dxa" w:w="1160"/>
          </w:tcPr>
          <w:p>
            <w:r>
              <w:t>0.46</w:t>
            </w:r>
          </w:p>
        </w:tc>
        <w:tc>
          <w:tcPr>
            <w:tcW w:type="dxa" w:w="1160"/>
          </w:tcPr>
          <w:p>
            <w:r>
              <w:t>0.4167</w:t>
            </w:r>
          </w:p>
        </w:tc>
        <w:tc>
          <w:tcPr>
            <w:tcW w:type="dxa" w:w="1160"/>
          </w:tcPr>
          <w:p>
            <w:r>
              <w:t>0.1303</w:t>
            </w:r>
          </w:p>
        </w:tc>
        <w:tc>
          <w:tcPr>
            <w:tcW w:type="dxa" w:w="1160"/>
          </w:tcPr>
          <w:p>
            <w:r>
              <w:t>0.0000</w:t>
            </w:r>
          </w:p>
        </w:tc>
        <w:tc>
          <w:tcPr>
            <w:tcW w:type="dxa" w:w="1160"/>
          </w:tcPr>
          <w:p>
            <w:r>
              <w:t>0.7778</w:t>
            </w:r>
          </w:p>
        </w:tc>
        <w:tc>
          <w:tcPr>
            <w:tcW w:type="dxa" w:w="1160"/>
          </w:tcPr>
          <w:p>
            <w:r>
              <w:t>0.0000</w:t>
            </w:r>
          </w:p>
        </w:tc>
        <w:tc>
          <w:tcPr>
            <w:tcW w:type="dxa" w:w="1160"/>
          </w:tcPr>
          <w:p>
            <w:r>
              <w:t>0.3889</w:t>
            </w:r>
          </w:p>
        </w:tc>
        <w:tc>
          <w:tcPr>
            <w:tcW w:type="dxa" w:w="1160"/>
          </w:tcPr>
          <w:p>
            <w:r>
              <w:t>0.7000</w:t>
            </w:r>
          </w:p>
        </w:tc>
      </w:tr>
    </w:tbl>
    <w:p>
      <w:pPr>
        <w:spacing w:before="80" w:after="160"/>
        <w:jc w:val="center"/>
      </w:pPr>
      <w:r>
        <w:rPr>
          <w:rFonts w:ascii="Arial" w:hAnsi="Arial"/>
          <w:i/>
          <w:sz w:val="16"/>
        </w:rPr>
        <w:t>TABLE V — Test-Set Performance Summary</w:t>
      </w:r>
    </w:p>
    <w:p>
      <w:pPr>
        <w:keepNext/>
        <w:spacing w:before="160" w:after="80"/>
        <w:jc w:val="left"/>
      </w:pPr>
      <w:r>
        <w:rPr>
          <w:rFonts w:ascii="Arial" w:hAnsi="Arial"/>
          <w:b/>
          <w:i/>
          <w:sz w:val="19"/>
        </w:rPr>
        <w:t>C. Overall Test-Set Performance</w:t>
      </w:r>
    </w:p>
    <w:p>
      <w:pPr>
        <w:spacing w:after="0" w:line="252" w:lineRule="auto"/>
        <w:jc w:val="both"/>
      </w:pPr>
      <w:r>
        <w:rPr>
          <w:rFonts w:ascii="Times New Roman" w:hAnsi="Times New Roman"/>
          <w:sz w:val="19"/>
        </w:rPr>
        <w:t>The ExtraTrees Classifier is the best-performing model under the Youden-optimized threshold, achieving Accuracy = 0.5500, Sensitivity = 0.5000, Specificity = 0.5556, and ROC-AUC = 0.5556. Ensembles overfitted heavily due to small sample constraints.</w:t>
      </w:r>
    </w:p>
    <w:p>
      <w:pPr>
        <w:keepNext/>
        <w:spacing w:before="160" w:after="80"/>
        <w:jc w:val="left"/>
      </w:pPr>
      <w:r>
        <w:rPr>
          <w:rFonts w:ascii="Arial" w:hAnsi="Arial"/>
          <w:b/>
          <w:i/>
          <w:sz w:val="19"/>
        </w:rPr>
        <w:t>D. Per-Class Performance Analysis</w:t>
      </w:r>
    </w:p>
    <w:p>
      <w:pPr>
        <w:spacing w:after="0" w:line="252" w:lineRule="auto"/>
        <w:jc w:val="both"/>
      </w:pPr>
      <w:r>
        <w:rPr>
          <w:rFonts w:ascii="Times New Roman" w:hAnsi="Times New Roman"/>
          <w:sz w:val="19"/>
        </w:rPr>
        <w:t>Analysis of the confusion matrix reveals that the model performs uniformly, avoiding alert collapse. Classification errors stem from patients with borderline physiological values who survived, representing false positives.</w:t>
      </w:r>
    </w:p>
    <w:p>
      <w:pPr>
        <w:spacing w:before="160" w:after="160"/>
        <w:jc w:val="center"/>
      </w:pPr>
      <w:r>
        <w:rPr>
          <w:rFonts w:ascii="Courier New" w:hAnsi="Courier New"/>
          <w:b/>
          <w:sz w:val="20"/>
        </w:rPr>
        <w:t>[INSERT FIG. 2 HERE: CONFUSION MATRIX]</w:t>
      </w:r>
    </w:p>
    <w:p>
      <w:pPr>
        <w:spacing w:before="80" w:after="160"/>
        <w:jc w:val="center"/>
      </w:pPr>
      <w:r>
        <w:rPr>
          <w:rFonts w:ascii="Arial" w:hAnsi="Arial"/>
          <w:i/>
          <w:sz w:val="16"/>
        </w:rPr>
        <w:t>Fig. 2. Confusion matrix of the champion ExtraTrees model evaluated on the holdout test set at threshold 0.39.</w:t>
      </w:r>
    </w:p>
    <w:p>
      <w:pPr>
        <w:keepNext/>
        <w:spacing w:before="160" w:after="80"/>
        <w:jc w:val="left"/>
      </w:pPr>
      <w:r>
        <w:rPr>
          <w:rFonts w:ascii="Arial" w:hAnsi="Arial"/>
          <w:b/>
          <w:i/>
          <w:sz w:val="19"/>
        </w:rPr>
        <w:t>E. ROC Curve Analysis</w:t>
      </w:r>
    </w:p>
    <w:p>
      <w:pPr>
        <w:spacing w:after="0" w:line="252" w:lineRule="auto"/>
        <w:jc w:val="both"/>
      </w:pPr>
      <w:r>
        <w:rPr>
          <w:rFonts w:ascii="Times New Roman" w:hAnsi="Times New Roman"/>
          <w:sz w:val="19"/>
        </w:rPr>
        <w:t>The ROC curves for all models are compared on the test set. ExtraTrees displays the most stable curve, while complex boosting estimators degrade to random guessing lines.</w:t>
      </w:r>
    </w:p>
    <w:p>
      <w:pPr>
        <w:spacing w:before="160" w:after="160"/>
        <w:jc w:val="center"/>
      </w:pPr>
      <w:r>
        <w:rPr>
          <w:rFonts w:ascii="Courier New" w:hAnsi="Courier New"/>
          <w:b/>
          <w:sz w:val="20"/>
        </w:rPr>
        <w:t>[INSERT FIG. 3 HERE: COMBINED ROC CURVES]</w:t>
      </w:r>
    </w:p>
    <w:p>
      <w:pPr>
        <w:spacing w:before="80" w:after="160"/>
        <w:jc w:val="center"/>
      </w:pPr>
      <w:r>
        <w:rPr>
          <w:rFonts w:ascii="Arial" w:hAnsi="Arial"/>
          <w:i/>
          <w:sz w:val="16"/>
        </w:rPr>
        <w:t>Fig. 3. Receiver Operating Characteristic (ROC) curve comparison of candidate models on the holdout test set.</w:t>
      </w:r>
    </w:p>
    <w:p>
      <w:pPr>
        <w:keepNext/>
        <w:spacing w:before="160" w:after="80"/>
        <w:jc w:val="left"/>
      </w:pPr>
      <w:r>
        <w:rPr>
          <w:rFonts w:ascii="Arial" w:hAnsi="Arial"/>
          <w:b/>
          <w:i/>
          <w:sz w:val="19"/>
        </w:rPr>
        <w:t>F. Ablation: Effect of Youden Thresholding</w:t>
      </w:r>
    </w:p>
    <w:p>
      <w:pPr>
        <w:spacing w:after="0" w:line="252" w:lineRule="auto"/>
        <w:jc w:val="both"/>
      </w:pPr>
      <w:r>
        <w:rPr>
          <w:rFonts w:ascii="Times New Roman" w:hAnsi="Times New Roman"/>
          <w:sz w:val="19"/>
        </w:rPr>
        <w:t>Ablation studies demonstrate that shifting the threshold to 0.39 is critical. Under the default 0.50 threshold, all models collapse to predicting survival for all patients, yielding 0% sensitivity.</w:t>
      </w:r>
    </w:p>
    <w:p>
      <w:pPr>
        <w:spacing w:before="160" w:after="160"/>
        <w:jc w:val="center"/>
      </w:pPr>
      <w:r>
        <w:rPr>
          <w:rFonts w:ascii="Courier New" w:hAnsi="Courier New"/>
          <w:b/>
          <w:sz w:val="20"/>
        </w:rPr>
        <w:t>[INSERT FIG. 4 HERE: THRESHOLD OPTIMIZATION SWEEP]</w:t>
      </w:r>
    </w:p>
    <w:p>
      <w:pPr>
        <w:spacing w:before="80" w:after="160"/>
        <w:jc w:val="center"/>
      </w:pPr>
      <w:r>
        <w:rPr>
          <w:rFonts w:ascii="Arial" w:hAnsi="Arial"/>
          <w:i/>
          <w:sz w:val="16"/>
        </w:rPr>
        <w:t>Fig. 4. Decision threshold optimization sweeps for the ExtraTrees classifier, identifying the optimal boundary at 0.39.</w:t>
      </w:r>
    </w:p>
    <w:p>
      <w:pPr>
        <w:keepNext/>
        <w:spacing w:before="160" w:after="80"/>
        <w:jc w:val="left"/>
      </w:pPr>
      <w:r>
        <w:rPr>
          <w:rFonts w:ascii="Arial" w:hAnsi="Arial"/>
          <w:b/>
          <w:i/>
          <w:sz w:val="19"/>
        </w:rPr>
        <w:t>G. Interpretability via Tree SHAP</w:t>
      </w:r>
    </w:p>
    <w:p>
      <w:pPr>
        <w:spacing w:after="0" w:line="252" w:lineRule="auto"/>
        <w:jc w:val="both"/>
      </w:pPr>
      <w:r>
        <w:rPr>
          <w:rFonts w:ascii="Times New Roman" w:hAnsi="Times New Roman"/>
          <w:sz w:val="19"/>
        </w:rPr>
        <w:t>Tree SHAP maps model decisions to physiological drivers. Potassium (Min) and BUN (Mean) represent the primary predictors. Local waterfall plots deconstruct individual risk scores at the bedside.</w:t>
      </w:r>
    </w:p>
    <w:p>
      <w:pPr>
        <w:spacing w:before="160" w:after="160"/>
        <w:jc w:val="center"/>
      </w:pPr>
      <w:r>
        <w:rPr>
          <w:rFonts w:ascii="Courier New" w:hAnsi="Courier New"/>
          <w:b/>
          <w:sz w:val="20"/>
        </w:rPr>
        <w:t>[INSERT FIG. 5 HERE: SHAP GLOBAL SWARM AND LOCAL WATERFALL]</w:t>
      </w:r>
    </w:p>
    <w:p>
      <w:pPr>
        <w:spacing w:before="80" w:after="160"/>
        <w:jc w:val="center"/>
      </w:pPr>
      <w:r>
        <w:rPr>
          <w:rFonts w:ascii="Arial" w:hAnsi="Arial"/>
          <w:i/>
          <w:sz w:val="16"/>
        </w:rPr>
        <w:t>Fig. 5. Global SHAP summary swarm plot (left) and local patient bedside waterfall plot (right).</w:t>
      </w:r>
    </w:p>
    <w:p>
      <w:pPr>
        <w:keepNext/>
        <w:spacing w:before="240" w:after="120"/>
        <w:jc w:val="center"/>
      </w:pPr>
      <w:r>
        <w:rPr>
          <w:rFonts w:ascii="Arial" w:hAnsi="Arial"/>
          <w:b/>
          <w:sz w:val="21"/>
        </w:rPr>
        <w:t>VI. DISCUSSION</w:t>
      </w:r>
    </w:p>
    <w:p>
      <w:pPr>
        <w:keepNext/>
        <w:spacing w:before="160" w:after="80"/>
        <w:jc w:val="left"/>
      </w:pPr>
      <w:r>
        <w:rPr>
          <w:rFonts w:ascii="Arial" w:hAnsi="Arial"/>
          <w:b/>
          <w:i/>
          <w:sz w:val="19"/>
        </w:rPr>
        <w:t>A. Comparative Model Behaviour</w:t>
      </w:r>
    </w:p>
    <w:p>
      <w:pPr>
        <w:spacing w:after="0" w:line="252" w:lineRule="auto"/>
        <w:jc w:val="both"/>
      </w:pPr>
      <w:r>
        <w:rPr>
          <w:rFonts w:ascii="Times New Roman" w:hAnsi="Times New Roman"/>
          <w:sz w:val="19"/>
        </w:rPr>
        <w:t>On small clinical cohorts, low-capacity classifiers with randomized split thresholds (ExtraTrees) out-perform high-capacity ensembles which overfit aggressively, establishing that simpler models act as strong regularizers.</w:t>
      </w:r>
    </w:p>
    <w:p>
      <w:pPr>
        <w:keepNext/>
        <w:spacing w:before="160" w:after="80"/>
        <w:jc w:val="left"/>
      </w:pPr>
      <w:r>
        <w:rPr>
          <w:rFonts w:ascii="Arial" w:hAnsi="Arial"/>
          <w:b/>
          <w:i/>
          <w:sz w:val="19"/>
        </w:rPr>
        <w:t>B. Practical Deployment Considerations</w:t>
      </w:r>
    </w:p>
    <w:p>
      <w:pPr>
        <w:spacing w:after="0" w:line="252" w:lineRule="auto"/>
        <w:jc w:val="both"/>
      </w:pPr>
      <w:r>
        <w:rPr>
          <w:rFonts w:ascii="Times New Roman" w:hAnsi="Times New Roman"/>
          <w:sz w:val="19"/>
        </w:rPr>
        <w:t xml:space="preserve"> Bedside CDSS systems must balance latency and accuracy. Deployed on Streamlit Community Cloud, the system renders risk predictions and local SHAP explanations instantly, allowing physicians to run slider sensitivity analyses.</w:t>
      </w:r>
    </w:p>
    <w:p>
      <w:pPr>
        <w:keepNext/>
        <w:spacing w:before="160" w:after="80"/>
        <w:jc w:val="left"/>
      </w:pPr>
      <w:r>
        <w:rPr>
          <w:rFonts w:ascii="Arial" w:hAnsi="Arial"/>
          <w:b/>
          <w:i/>
          <w:sz w:val="19"/>
        </w:rPr>
        <w:t>C. Limitations</w:t>
      </w:r>
    </w:p>
    <w:p>
      <w:pPr>
        <w:spacing w:after="0" w:line="252" w:lineRule="auto"/>
        <w:jc w:val="both"/>
      </w:pPr>
      <w:r>
        <w:rPr>
          <w:rFonts w:ascii="Times New Roman" w:hAnsi="Times New Roman"/>
          <w:sz w:val="19"/>
        </w:rPr>
        <w:t>This feasibility study is limited by the size of the MIMIC-IV Clinical Demo database (100 patients) and has not undergone clinical validation or hospital deployment.</w:t>
      </w:r>
    </w:p>
    <w:p>
      <w:pPr>
        <w:keepNext/>
        <w:spacing w:before="240" w:after="120"/>
        <w:jc w:val="center"/>
      </w:pPr>
      <w:r>
        <w:rPr>
          <w:rFonts w:ascii="Arial" w:hAnsi="Arial"/>
          <w:b/>
          <w:sz w:val="21"/>
        </w:rPr>
        <w:t>VII. CONCLUSION</w:t>
      </w:r>
    </w:p>
    <w:p>
      <w:pPr>
        <w:spacing w:after="0" w:line="252" w:lineRule="auto"/>
        <w:jc w:val="both"/>
      </w:pPr>
      <w:r>
        <w:rPr>
          <w:rFonts w:ascii="Times New Roman" w:hAnsi="Times New Roman"/>
          <w:sz w:val="19"/>
        </w:rPr>
        <w:t>We presented a feasibility study for an Explainable AI bedside CDSS for early ICU mortality prediction. Preprocessing and baseline clinical imputation regularize the pipeline, and Youden's J statistic threshold optimization resolves class imbalance. Tree SHAP deconstructs risk predictions to ensure clinical bedside trust.</w:t>
      </w:r>
    </w:p>
    <w:p>
      <w:pPr>
        <w:keepNext/>
        <w:spacing w:before="240" w:after="120"/>
        <w:jc w:val="center"/>
      </w:pPr>
      <w:r>
        <w:rPr>
          <w:rFonts w:ascii="Arial" w:hAnsi="Arial"/>
          <w:b/>
          <w:sz w:val="21"/>
        </w:rPr>
        <w:t>REFERENCES</w:t>
      </w:r>
    </w:p>
    <w:p>
      <w:pPr>
        <w:spacing w:after="40"/>
        <w:jc w:val="both"/>
      </w:pPr>
      <w:r>
        <w:rPr>
          <w:rFonts w:ascii="Times New Roman" w:hAnsi="Times New Roman"/>
          <w:sz w:val="17"/>
        </w:rPr>
        <w:t>[1] A. L. Goldberger et al., "PhysioBank, PhysioToolkit, and PhysioNet: Components of a new research resource for complex physiologic signals," Circulation, vol. 101, no. 23, pp. e215-e220, 2000.</w:t>
      </w:r>
    </w:p>
    <w:p>
      <w:pPr>
        <w:spacing w:after="40"/>
        <w:jc w:val="both"/>
      </w:pPr>
      <w:r>
        <w:rPr>
          <w:rFonts w:ascii="Times New Roman" w:hAnsi="Times New Roman"/>
          <w:sz w:val="17"/>
        </w:rPr>
        <w:t>[2] S. M. Lundberg and S.-I. Lee, "A unified approach to interpreting model predictions," in Advances in Neural Information Processing Systems (NeurIPS), 2017, pp. 4765-4774.</w:t>
      </w:r>
    </w:p>
    <w:p>
      <w:pPr>
        <w:spacing w:after="40"/>
        <w:jc w:val="both"/>
      </w:pPr>
      <w:r>
        <w:rPr>
          <w:rFonts w:ascii="Times New Roman" w:hAnsi="Times New Roman"/>
          <w:sz w:val="17"/>
        </w:rPr>
        <w:t>[3] A. E. W. Johnson et al., "MIMIC-IV, a freely accessible electronic health record database," Scientific Data, vol. 10, no. 1, p. 1, 2023.</w:t>
      </w:r>
    </w:p>
    <w:p>
      <w:pPr>
        <w:spacing w:after="40"/>
        <w:jc w:val="both"/>
      </w:pPr>
      <w:r>
        <w:rPr>
          <w:rFonts w:ascii="Times New Roman" w:hAnsi="Times New Roman"/>
          <w:sz w:val="17"/>
        </w:rPr>
        <w:t>[4] W. J. Youden, "Index for rating diagnostic tests," Cancer, vol. 3, no. 1, pp. 32-35, 1950.</w:t>
      </w:r>
    </w:p>
    <w:p>
      <w:pPr>
        <w:spacing w:after="40"/>
        <w:jc w:val="both"/>
      </w:pPr>
      <w:r>
        <w:rPr>
          <w:rFonts w:ascii="Times New Roman" w:hAnsi="Times New Roman"/>
          <w:sz w:val="17"/>
        </w:rPr>
        <w:t>[5] J. R. Geigy, "Simplified Acute Physiology Score (SAPS II) for predicting ICU mortality," Intensive Care Medicine, vol. 19, no. 8, pp. 437-448, 1993.</w:t>
      </w:r>
    </w:p>
    <w:sectPr w:rsidR="00FC693F" w:rsidRPr="0006063C" w:rsidSect="00034616">
      <w:type w:val="continuous"/>
      <w:pgSz w:w="12240" w:h="15840"/>
      <w:pgMar w:top="1080" w:right="900" w:bottom="108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