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Arial" w:hAnsi="Arial"/>
          <w:b/>
          <w:color w:val="1F4E79"/>
          <w:sz w:val="40"/>
        </w:rPr>
        <w:t>An Explainable Machine Learning Clinical Decision Support System with Clinical Regularization and Youden-Thresholding for Bedside ICU Mortality Prediction</w:t>
      </w:r>
    </w:p>
    <w:p>
      <w:pPr>
        <w:spacing w:after="360"/>
        <w:jc w:val="center"/>
      </w:pPr>
      <w:r>
        <w:rPr>
          <w:rFonts w:ascii="Arial" w:hAnsi="Arial"/>
          <w:i/>
          <w:sz w:val="21"/>
        </w:rPr>
        <w:t>S. Kaviya Shree (24BVD1088), D. Tarunika (24BLC1336), Kavya Raja . G (24BVD1099)</w:t>
        <w:br/>
        <w:t>School of Electronics Engineering, Vellore Institute of Technology (VIT), Chennai, Tamil Nadu, India</w:t>
        <w:br/>
        <w:t>Email: {kaviyashree.s2024, tarunika.d2024, kavyaraja.g2024}@vitstudent.ac.in</w:t>
      </w:r>
    </w:p>
    <w:p>
      <w:pPr>
        <w:spacing w:after="120" w:line="276" w:lineRule="auto"/>
        <w:jc w:val="both"/>
      </w:pPr>
      <w:r>
        <w:rPr>
          <w:rFonts w:ascii="Times New Roman" w:hAnsi="Times New Roman"/>
          <w:b/>
          <w:sz w:val="22"/>
        </w:rPr>
        <w:t xml:space="preserve">Abstract— </w:t>
      </w:r>
      <w:r>
        <w:rPr>
          <w:rFonts w:ascii="Times New Roman" w:hAnsi="Times New Roman"/>
          <w:sz w:val="22"/>
        </w:rPr>
        <w:t>The ability to predict reliably if ICU patients are likely to deteriorate is critical to improve care outcomes. Existing alarm systems generate frequent false alerts, causing clinical alert fatigue. This study presents the development, validation, and deployment of a real-time Clinical Decision Support System (CDSS) for predicting in-hospital ICU mortality using physiological telemetry and laboratory panel observations recorded within the first 24 hours of admission. Utilizing the MIMIC-IV Clinical Demo dataset (100 unique patients across 140 ICU stays), we constructed a leak-free preprocessing pipeline featuring temperature scale unification, noise scrubbing, and 6x multimodal statistical aggregation over predictive clinical biomarkers. We evaluated seven machine learning algorithms and two ensembles under Stratified 5-Fold Cross-Validation. To resolve severe class imbalance (10.72% mortality rate) and prevent majority-class collapse, we deployed out-of-fold Youden's J threshold optimization. L2-regularized Logistic Regression emerged as the champion classifier, achieving a hold-out performance of 0.8500 (Accuracy), 0.8889 (Specificity), 0.5000 (Sensitivity/Recall), 0.4000 (F1-Score), and 0.2193 (PR-AUC). Bedside transparency is provided via a Game-theoretic SHAP Explainability Engine, translating predictions into human-readable biophysical risk factors (Heart Rate, Potassium, BUN, and Systolic BP). The complete system is deployed as an interactive Streamlit clinical application featuring automated bedside PDF chart export.</w:t>
      </w:r>
    </w:p>
    <w:p>
      <w:pPr>
        <w:spacing w:after="120" w:line="276" w:lineRule="auto"/>
        <w:jc w:val="both"/>
      </w:pPr>
      <w:r>
        <w:rPr>
          <w:rFonts w:ascii="Times New Roman" w:hAnsi="Times New Roman"/>
          <w:b/>
          <w:sz w:val="22"/>
        </w:rPr>
        <w:t xml:space="preserve">Keywords— </w:t>
      </w:r>
      <w:r>
        <w:rPr>
          <w:rFonts w:ascii="Times New Roman" w:hAnsi="Times New Roman"/>
          <w:sz w:val="22"/>
        </w:rPr>
        <w:t>Explainable Artificial Intelligence (XAI), Clinical Decision Support Systems (CDSS), Logistic Regression, Youden's J Statistic, SHAP Swarm Density, ICU Mortality Prediction, MIMIC-IV Clinical Demo.</w:t>
      </w:r>
    </w:p>
    <w:p>
      <w:pPr>
        <w:keepNext/>
        <w:spacing w:before="320" w:after="120"/>
        <w:jc w:val="left"/>
      </w:pPr>
      <w:r>
        <w:rPr>
          <w:rFonts w:ascii="Arial" w:hAnsi="Arial"/>
          <w:b/>
          <w:color w:val="1F4E79"/>
          <w:sz w:val="26"/>
        </w:rPr>
        <w:t>I. Introduction &amp; Clinical Motivation</w:t>
      </w:r>
    </w:p>
    <w:p>
      <w:pPr>
        <w:spacing w:after="120" w:line="276" w:lineRule="auto"/>
        <w:jc w:val="both"/>
      </w:pPr>
      <w:r>
        <w:rPr>
          <w:rFonts w:ascii="Times New Roman" w:hAnsi="Times New Roman"/>
          <w:sz w:val="22"/>
        </w:rPr>
        <w:t>In critical care settings, continuous monitoring and rapid clinical interventions are required due to the high acuity of ICU patients' conditions. Critical care teams must process massive, heterogeneous data streams generated by bedside monitors, ventilators, and frequent laboratory assessments. Management of this information frequently results in cognitive overload and alarm fatigue, which can desensitize clinicians to frequent alerts and lead to missed physiological deterioration cues.</w:t>
      </w:r>
    </w:p>
    <w:p>
      <w:pPr>
        <w:spacing w:after="120" w:line="276" w:lineRule="auto"/>
        <w:jc w:val="both"/>
      </w:pPr>
      <w:r>
        <w:rPr>
          <w:rFonts w:ascii="Times New Roman" w:hAnsi="Times New Roman"/>
          <w:sz w:val="22"/>
        </w:rPr>
        <w:t>Machine learning (ML) models trained on Electronic Health Records (EHRs) offer automated, scalable support in patient monitoring. However, clinical ML deployment faces three major hurdles: (1) Data Leakage: Standard models extract features immediately prior to death or discharge, rendering predictions non-actionable for early intervention; (2) Unstable Inference: Static observations are sensitive to missing lab values and noise; and (3) Overfitting on Imbalanced Datasets: High-capacity ensemble models suffer from severe overfitting when trained on small, imbalanced medical cohorts.</w:t>
      </w:r>
    </w:p>
    <w:p>
      <w:pPr>
        <w:spacing w:before="240" w:after="80"/>
        <w:jc w:val="center"/>
      </w:pPr>
      <w:r>
        <w:drawing>
          <wp:inline xmlns:a="http://schemas.openxmlformats.org/drawingml/2006/main" xmlns:pic="http://schemas.openxmlformats.org/drawingml/2006/picture">
            <wp:extent cx="5669280" cy="2576945"/>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9"/>
                    <a:stretch>
                      <a:fillRect/>
                    </a:stretch>
                  </pic:blipFill>
                  <pic:spPr>
                    <a:xfrm>
                      <a:off x="0" y="0"/>
                      <a:ext cx="5669280" cy="2576945"/>
                    </a:xfrm>
                    <a:prstGeom prst="rect"/>
                  </pic:spPr>
                </pic:pic>
              </a:graphicData>
            </a:graphic>
          </wp:inline>
        </w:drawing>
      </w:r>
    </w:p>
    <w:p>
      <w:pPr>
        <w:spacing w:after="240"/>
        <w:jc w:val="center"/>
      </w:pPr>
      <w:r>
        <w:rPr>
          <w:rFonts w:ascii="Arial" w:hAnsi="Arial"/>
          <w:b/>
          <w:i/>
          <w:sz w:val="18"/>
        </w:rPr>
        <w:t>Fig. 1. Decoupled Horizontal Architecture of the proposed Explainable AI Clinical Decision Support System (Data Acquisition, Clinical Intelligence, and Bedside Decision Support Tiers).</w:t>
      </w:r>
    </w:p>
    <w:p>
      <w:pPr>
        <w:keepNext/>
        <w:spacing w:before="320" w:after="120"/>
        <w:jc w:val="left"/>
      </w:pPr>
      <w:r>
        <w:rPr>
          <w:rFonts w:ascii="Arial" w:hAnsi="Arial"/>
          <w:b/>
          <w:color w:val="1F4E79"/>
          <w:sz w:val="26"/>
        </w:rPr>
        <w:t>II. Related Work &amp; Traditional Scoring Systems</w:t>
      </w:r>
    </w:p>
    <w:p>
      <w:pPr>
        <w:spacing w:after="120" w:line="276" w:lineRule="auto"/>
        <w:jc w:val="both"/>
      </w:pPr>
      <w:r>
        <w:rPr>
          <w:rFonts w:ascii="Times New Roman" w:hAnsi="Times New Roman"/>
          <w:sz w:val="22"/>
        </w:rPr>
        <w:t>Traditional ICU risk scoring systems, such as the Simplified Acute Physiology Score (SAPS II) and Acute Physiology and Chronic Health Evaluation (APACHE), rely on static integer scores calculated 24 hours post-admission. While mathematically validated, static scoring models fail to capture continuous temporal trajectories and physiological volatility.</w:t>
      </w:r>
    </w:p>
    <w:p>
      <w:pPr>
        <w:spacing w:after="120" w:line="276" w:lineRule="auto"/>
        <w:jc w:val="both"/>
      </w:pPr>
      <w:r>
        <w:rPr>
          <w:rFonts w:ascii="Times New Roman" w:hAnsi="Times New Roman"/>
          <w:sz w:val="22"/>
        </w:rPr>
        <w:t>With the advent of EHR databases like MIMIC, machine learning models (Logistic Regression, Gradient Boosted Trees, Ensembles) have demonstrated superior discriminative accuracy. However, black-box ML models lack interpretability. Game-theoretic Explainable AI (SHAP) resolves this challenge by computing exact additive feature contributions for individual patient risk scores.</w:t>
      </w:r>
    </w:p>
    <w:p>
      <w:pPr>
        <w:keepNext/>
        <w:spacing w:before="320" w:after="120"/>
        <w:jc w:val="left"/>
      </w:pPr>
      <w:r>
        <w:rPr>
          <w:rFonts w:ascii="Arial" w:hAnsi="Arial"/>
          <w:b/>
          <w:color w:val="1F4E79"/>
          <w:sz w:val="26"/>
        </w:rPr>
        <w:t>III. Dataset &amp; Cohort Characteristics</w:t>
      </w:r>
    </w:p>
    <w:p>
      <w:pPr>
        <w:spacing w:after="120" w:line="276" w:lineRule="auto"/>
        <w:jc w:val="both"/>
      </w:pPr>
      <w:r>
        <w:rPr>
          <w:rFonts w:ascii="Times New Roman" w:hAnsi="Times New Roman"/>
          <w:sz w:val="22"/>
        </w:rPr>
        <w:t>Experiments were conducted using the MIMIC-IV Clinical Demo Dataset (v2.2), containing de-identified EHR records for 100 unique patients across 140 ICU stays. The outcome target hospital_expire_flag tracks in-hospital mortality (1 = Deceased, 0 = Survived).</w:t>
      </w:r>
    </w:p>
    <w:p>
      <w:pPr>
        <w:keepNext/>
        <w:spacing w:before="240" w:after="80"/>
        <w:jc w:val="left"/>
      </w:pPr>
      <w:r>
        <w:rPr>
          <w:rFonts w:ascii="Arial" w:hAnsi="Arial"/>
          <w:b/>
          <w:color w:val="2980B9"/>
          <w:sz w:val="22"/>
        </w:rPr>
        <w:t>Table I: Target Classification Categories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50" w:type="dxa"/>
              <w:right w:w="150" w:type="dxa"/>
            </w:tcMar>
          </w:tcPr>
          <w:p>
            <w:pPr>
              <w:jc w:val="center"/>
            </w:pPr>
            <w:r>
              <w:rPr>
                <w:rFonts w:ascii="Arial" w:hAnsi="Arial"/>
                <w:b/>
                <w:color w:val="FFFFFF"/>
                <w:sz w:val="19"/>
              </w:rPr>
              <w:t>Class Index</w:t>
            </w:r>
          </w:p>
        </w:tc>
        <w:tc>
          <w:tcPr>
            <w:tcW w:type="dxa" w:w="2340"/>
            <w:shd w:fill="1F4E79"/>
            <w:tcMar>
              <w:top w:w="120" w:type="dxa"/>
              <w:bottom w:w="120" w:type="dxa"/>
              <w:left w:w="150" w:type="dxa"/>
              <w:right w:w="150" w:type="dxa"/>
            </w:tcMar>
          </w:tcPr>
          <w:p>
            <w:pPr>
              <w:jc w:val="center"/>
            </w:pPr>
            <w:r>
              <w:rPr>
                <w:rFonts w:ascii="Arial" w:hAnsi="Arial"/>
                <w:b/>
                <w:color w:val="FFFFFF"/>
                <w:sz w:val="19"/>
              </w:rPr>
              <w:t>Class Name</w:t>
            </w:r>
          </w:p>
        </w:tc>
        <w:tc>
          <w:tcPr>
            <w:tcW w:type="dxa" w:w="2340"/>
            <w:shd w:fill="1F4E79"/>
            <w:tcMar>
              <w:top w:w="120" w:type="dxa"/>
              <w:bottom w:w="120" w:type="dxa"/>
              <w:left w:w="150" w:type="dxa"/>
              <w:right w:w="150" w:type="dxa"/>
            </w:tcMar>
          </w:tcPr>
          <w:p>
            <w:pPr>
              <w:jc w:val="center"/>
            </w:pPr>
            <w:r>
              <w:rPr>
                <w:rFonts w:ascii="Arial" w:hAnsi="Arial"/>
                <w:b/>
                <w:color w:val="FFFFFF"/>
                <w:sz w:val="19"/>
              </w:rPr>
              <w:t>Clinical Category</w:t>
            </w:r>
          </w:p>
        </w:tc>
        <w:tc>
          <w:tcPr>
            <w:tcW w:type="dxa" w:w="2340"/>
            <w:shd w:fill="1F4E79"/>
            <w:tcMar>
              <w:top w:w="120" w:type="dxa"/>
              <w:bottom w:w="120" w:type="dxa"/>
              <w:left w:w="150" w:type="dxa"/>
              <w:right w:w="150" w:type="dxa"/>
            </w:tcMar>
          </w:tcPr>
          <w:p>
            <w:pPr>
              <w:jc w:val="center"/>
            </w:pPr>
            <w:r>
              <w:rPr>
                <w:rFonts w:ascii="Arial" w:hAnsi="Arial"/>
                <w:b/>
                <w:color w:val="FFFFFF"/>
                <w:sz w:val="19"/>
              </w:rPr>
              <w:t>Description</w:t>
            </w:r>
          </w:p>
        </w:tc>
      </w:tr>
      <w:tr>
        <w:tc>
          <w:tcPr>
            <w:tcW w:type="dxa" w:w="2340"/>
            <w:shd w:fill="FFFFFF"/>
            <w:tcMar>
              <w:top w:w="90" w:type="dxa"/>
              <w:bottom w:w="90" w:type="dxa"/>
              <w:left w:w="150" w:type="dxa"/>
              <w:right w:w="150" w:type="dxa"/>
            </w:tcMar>
          </w:tcPr>
          <w:p>
            <w:pPr>
              <w:jc w:val="left"/>
            </w:pPr>
            <w:r>
              <w:rPr>
                <w:rFonts w:ascii="Times New Roman" w:hAnsi="Times New Roman"/>
                <w:sz w:val="19"/>
              </w:rPr>
              <w:t>0</w:t>
            </w:r>
          </w:p>
        </w:tc>
        <w:tc>
          <w:tcPr>
            <w:tcW w:type="dxa" w:w="2340"/>
            <w:shd w:fill="FFFFFF"/>
            <w:tcMar>
              <w:top w:w="90" w:type="dxa"/>
              <w:bottom w:w="90" w:type="dxa"/>
              <w:left w:w="150" w:type="dxa"/>
              <w:right w:w="150" w:type="dxa"/>
            </w:tcMar>
          </w:tcPr>
          <w:p>
            <w:pPr>
              <w:jc w:val="center"/>
            </w:pPr>
            <w:r>
              <w:rPr>
                <w:rFonts w:ascii="Times New Roman" w:hAnsi="Times New Roman"/>
                <w:sz w:val="19"/>
              </w:rPr>
              <w:t>Survived</w:t>
            </w:r>
          </w:p>
        </w:tc>
        <w:tc>
          <w:tcPr>
            <w:tcW w:type="dxa" w:w="2340"/>
            <w:shd w:fill="FFFFFF"/>
            <w:tcMar>
              <w:top w:w="90" w:type="dxa"/>
              <w:bottom w:w="90" w:type="dxa"/>
              <w:left w:w="150" w:type="dxa"/>
              <w:right w:w="150" w:type="dxa"/>
            </w:tcMar>
          </w:tcPr>
          <w:p>
            <w:pPr>
              <w:jc w:val="center"/>
            </w:pPr>
            <w:r>
              <w:rPr>
                <w:rFonts w:ascii="Times New Roman" w:hAnsi="Times New Roman"/>
                <w:sz w:val="19"/>
              </w:rPr>
              <w:t>Control Cohort</w:t>
            </w:r>
          </w:p>
        </w:tc>
        <w:tc>
          <w:tcPr>
            <w:tcW w:type="dxa" w:w="2340"/>
            <w:shd w:fill="FFFFFF"/>
            <w:tcMar>
              <w:top w:w="90" w:type="dxa"/>
              <w:bottom w:w="90" w:type="dxa"/>
              <w:left w:w="150" w:type="dxa"/>
              <w:right w:w="150" w:type="dxa"/>
            </w:tcMar>
          </w:tcPr>
          <w:p>
            <w:pPr>
              <w:jc w:val="center"/>
            </w:pPr>
            <w:r>
              <w:rPr>
                <w:rFonts w:ascii="Times New Roman" w:hAnsi="Times New Roman"/>
                <w:sz w:val="19"/>
              </w:rPr>
              <w:t>Patient successfully discharged from hospital alive</w:t>
            </w:r>
          </w:p>
        </w:tc>
      </w:tr>
      <w:tr>
        <w:tc>
          <w:tcPr>
            <w:tcW w:type="dxa" w:w="2340"/>
            <w:shd w:fill="F2F4F7"/>
            <w:tcMar>
              <w:top w:w="90" w:type="dxa"/>
              <w:bottom w:w="90" w:type="dxa"/>
              <w:left w:w="150" w:type="dxa"/>
              <w:right w:w="150" w:type="dxa"/>
            </w:tcMar>
          </w:tcPr>
          <w:p>
            <w:pPr>
              <w:jc w:val="left"/>
            </w:pPr>
            <w:r>
              <w:rPr>
                <w:rFonts w:ascii="Times New Roman" w:hAnsi="Times New Roman"/>
                <w:sz w:val="19"/>
              </w:rPr>
              <w:t>1</w:t>
            </w:r>
          </w:p>
        </w:tc>
        <w:tc>
          <w:tcPr>
            <w:tcW w:type="dxa" w:w="2340"/>
            <w:shd w:fill="F2F4F7"/>
            <w:tcMar>
              <w:top w:w="90" w:type="dxa"/>
              <w:bottom w:w="90" w:type="dxa"/>
              <w:left w:w="150" w:type="dxa"/>
              <w:right w:w="150" w:type="dxa"/>
            </w:tcMar>
          </w:tcPr>
          <w:p>
            <w:pPr>
              <w:jc w:val="center"/>
            </w:pPr>
            <w:r>
              <w:rPr>
                <w:rFonts w:ascii="Times New Roman" w:hAnsi="Times New Roman"/>
                <w:sz w:val="19"/>
              </w:rPr>
              <w:t>Deceased</w:t>
            </w:r>
          </w:p>
        </w:tc>
        <w:tc>
          <w:tcPr>
            <w:tcW w:type="dxa" w:w="2340"/>
            <w:shd w:fill="F2F4F7"/>
            <w:tcMar>
              <w:top w:w="90" w:type="dxa"/>
              <w:bottom w:w="90" w:type="dxa"/>
              <w:left w:w="150" w:type="dxa"/>
              <w:right w:w="150" w:type="dxa"/>
            </w:tcMar>
          </w:tcPr>
          <w:p>
            <w:pPr>
              <w:jc w:val="center"/>
            </w:pPr>
            <w:r>
              <w:rPr>
                <w:rFonts w:ascii="Times New Roman" w:hAnsi="Times New Roman"/>
                <w:sz w:val="19"/>
              </w:rPr>
              <w:t>Target Cohort</w:t>
            </w:r>
          </w:p>
        </w:tc>
        <w:tc>
          <w:tcPr>
            <w:tcW w:type="dxa" w:w="2340"/>
            <w:shd w:fill="F2F4F7"/>
            <w:tcMar>
              <w:top w:w="90" w:type="dxa"/>
              <w:bottom w:w="90" w:type="dxa"/>
              <w:left w:w="150" w:type="dxa"/>
              <w:right w:w="150" w:type="dxa"/>
            </w:tcMar>
          </w:tcPr>
          <w:p>
            <w:pPr>
              <w:jc w:val="center"/>
            </w:pPr>
            <w:r>
              <w:rPr>
                <w:rFonts w:ascii="Times New Roman" w:hAnsi="Times New Roman"/>
                <w:sz w:val="19"/>
              </w:rPr>
              <w:t>In-hospital mortality observed during ICU stay</w:t>
            </w:r>
          </w:p>
        </w:tc>
      </w:tr>
    </w:tbl>
    <w:p>
      <w:pPr>
        <w:spacing w:after="120"/>
      </w:pPr>
    </w:p>
    <w:p>
      <w:pPr>
        <w:keepNext/>
        <w:spacing w:before="240" w:after="80"/>
        <w:jc w:val="left"/>
      </w:pPr>
      <w:r>
        <w:rPr>
          <w:rFonts w:ascii="Arial" w:hAnsi="Arial"/>
          <w:b/>
          <w:color w:val="2980B9"/>
          <w:sz w:val="22"/>
        </w:rPr>
        <w:t>Table II: Dataset Distribution and Stratified 80-20 Train-Test Splits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Mar>
              <w:top w:w="120" w:type="dxa"/>
              <w:bottom w:w="120" w:type="dxa"/>
              <w:left w:w="150" w:type="dxa"/>
              <w:right w:w="150" w:type="dxa"/>
            </w:tcMar>
          </w:tcPr>
          <w:p>
            <w:pPr>
              <w:jc w:val="center"/>
            </w:pPr>
            <w:r>
              <w:rPr>
                <w:rFonts w:ascii="Arial" w:hAnsi="Arial"/>
                <w:b/>
                <w:color w:val="FFFFFF"/>
                <w:sz w:val="19"/>
              </w:rPr>
              <w:t>Target Class Name</w:t>
            </w:r>
          </w:p>
        </w:tc>
        <w:tc>
          <w:tcPr>
            <w:tcW w:type="dxa" w:w="1872"/>
            <w:shd w:fill="1F4E79"/>
            <w:tcMar>
              <w:top w:w="120" w:type="dxa"/>
              <w:bottom w:w="120" w:type="dxa"/>
              <w:left w:w="150" w:type="dxa"/>
              <w:right w:w="150" w:type="dxa"/>
            </w:tcMar>
          </w:tcPr>
          <w:p>
            <w:pPr>
              <w:jc w:val="center"/>
            </w:pPr>
            <w:r>
              <w:rPr>
                <w:rFonts w:ascii="Arial" w:hAnsi="Arial"/>
                <w:b/>
                <w:color w:val="FFFFFF"/>
                <w:sz w:val="19"/>
              </w:rPr>
              <w:t>Total Count</w:t>
            </w:r>
          </w:p>
        </w:tc>
        <w:tc>
          <w:tcPr>
            <w:tcW w:type="dxa" w:w="1872"/>
            <w:shd w:fill="1F4E79"/>
            <w:tcMar>
              <w:top w:w="120" w:type="dxa"/>
              <w:bottom w:w="120" w:type="dxa"/>
              <w:left w:w="150" w:type="dxa"/>
              <w:right w:w="150" w:type="dxa"/>
            </w:tcMar>
          </w:tcPr>
          <w:p>
            <w:pPr>
              <w:jc w:val="center"/>
            </w:pPr>
            <w:r>
              <w:rPr>
                <w:rFonts w:ascii="Arial" w:hAnsi="Arial"/>
                <w:b/>
                <w:color w:val="FFFFFF"/>
                <w:sz w:val="19"/>
              </w:rPr>
              <w:t>% of Total Cohort</w:t>
            </w:r>
          </w:p>
        </w:tc>
        <w:tc>
          <w:tcPr>
            <w:tcW w:type="dxa" w:w="1872"/>
            <w:shd w:fill="1F4E79"/>
            <w:tcMar>
              <w:top w:w="120" w:type="dxa"/>
              <w:bottom w:w="120" w:type="dxa"/>
              <w:left w:w="150" w:type="dxa"/>
              <w:right w:w="150" w:type="dxa"/>
            </w:tcMar>
          </w:tcPr>
          <w:p>
            <w:pPr>
              <w:jc w:val="center"/>
            </w:pPr>
            <w:r>
              <w:rPr>
                <w:rFonts w:ascii="Arial" w:hAnsi="Arial"/>
                <w:b/>
                <w:color w:val="FFFFFF"/>
                <w:sz w:val="19"/>
              </w:rPr>
              <w:t>Train Split (80%)</w:t>
            </w:r>
          </w:p>
        </w:tc>
        <w:tc>
          <w:tcPr>
            <w:tcW w:type="dxa" w:w="1872"/>
            <w:shd w:fill="1F4E79"/>
            <w:tcMar>
              <w:top w:w="120" w:type="dxa"/>
              <w:bottom w:w="120" w:type="dxa"/>
              <w:left w:w="150" w:type="dxa"/>
              <w:right w:w="150" w:type="dxa"/>
            </w:tcMar>
          </w:tcPr>
          <w:p>
            <w:pPr>
              <w:jc w:val="center"/>
            </w:pPr>
            <w:r>
              <w:rPr>
                <w:rFonts w:ascii="Arial" w:hAnsi="Arial"/>
                <w:b/>
                <w:color w:val="FFFFFF"/>
                <w:sz w:val="19"/>
              </w:rPr>
              <w:t>Test Split (20%)</w:t>
            </w:r>
          </w:p>
        </w:tc>
      </w:tr>
      <w:tr>
        <w:tc>
          <w:tcPr>
            <w:tcW w:type="dxa" w:w="1872"/>
            <w:shd w:fill="FFFFFF"/>
            <w:tcMar>
              <w:top w:w="90" w:type="dxa"/>
              <w:bottom w:w="90" w:type="dxa"/>
              <w:left w:w="150" w:type="dxa"/>
              <w:right w:w="150" w:type="dxa"/>
            </w:tcMar>
          </w:tcPr>
          <w:p>
            <w:pPr>
              <w:jc w:val="left"/>
            </w:pPr>
            <w:r>
              <w:rPr>
                <w:rFonts w:ascii="Times New Roman" w:hAnsi="Times New Roman"/>
                <w:sz w:val="19"/>
              </w:rPr>
              <w:t>Survived (Class 0)</w:t>
            </w:r>
          </w:p>
        </w:tc>
        <w:tc>
          <w:tcPr>
            <w:tcW w:type="dxa" w:w="1872"/>
            <w:shd w:fill="FFFFFF"/>
            <w:tcMar>
              <w:top w:w="90" w:type="dxa"/>
              <w:bottom w:w="90" w:type="dxa"/>
              <w:left w:w="150" w:type="dxa"/>
              <w:right w:w="150" w:type="dxa"/>
            </w:tcMar>
          </w:tcPr>
          <w:p>
            <w:pPr>
              <w:jc w:val="center"/>
            </w:pPr>
            <w:r>
              <w:rPr>
                <w:rFonts w:ascii="Times New Roman" w:hAnsi="Times New Roman"/>
                <w:sz w:val="19"/>
              </w:rPr>
              <w:t>125</w:t>
            </w:r>
          </w:p>
        </w:tc>
        <w:tc>
          <w:tcPr>
            <w:tcW w:type="dxa" w:w="1872"/>
            <w:shd w:fill="FFFFFF"/>
            <w:tcMar>
              <w:top w:w="90" w:type="dxa"/>
              <w:bottom w:w="90" w:type="dxa"/>
              <w:left w:w="150" w:type="dxa"/>
              <w:right w:w="150" w:type="dxa"/>
            </w:tcMar>
          </w:tcPr>
          <w:p>
            <w:pPr>
              <w:jc w:val="center"/>
            </w:pPr>
            <w:r>
              <w:rPr>
                <w:rFonts w:ascii="Times New Roman" w:hAnsi="Times New Roman"/>
                <w:sz w:val="19"/>
              </w:rPr>
              <w:t>89.28%</w:t>
            </w:r>
          </w:p>
        </w:tc>
        <w:tc>
          <w:tcPr>
            <w:tcW w:type="dxa" w:w="1872"/>
            <w:shd w:fill="FFFFFF"/>
            <w:tcMar>
              <w:top w:w="90" w:type="dxa"/>
              <w:bottom w:w="90" w:type="dxa"/>
              <w:left w:w="150" w:type="dxa"/>
              <w:right w:w="150" w:type="dxa"/>
            </w:tcMar>
          </w:tcPr>
          <w:p>
            <w:pPr>
              <w:jc w:val="center"/>
            </w:pPr>
            <w:r>
              <w:rPr>
                <w:rFonts w:ascii="Times New Roman" w:hAnsi="Times New Roman"/>
                <w:sz w:val="19"/>
              </w:rPr>
              <w:t>100 stays</w:t>
            </w:r>
          </w:p>
        </w:tc>
        <w:tc>
          <w:tcPr>
            <w:tcW w:type="dxa" w:w="1872"/>
            <w:shd w:fill="FFFFFF"/>
            <w:tcMar>
              <w:top w:w="90" w:type="dxa"/>
              <w:bottom w:w="90" w:type="dxa"/>
              <w:left w:w="150" w:type="dxa"/>
              <w:right w:w="150" w:type="dxa"/>
            </w:tcMar>
          </w:tcPr>
          <w:p>
            <w:pPr>
              <w:jc w:val="center"/>
            </w:pPr>
            <w:r>
              <w:rPr>
                <w:rFonts w:ascii="Times New Roman" w:hAnsi="Times New Roman"/>
                <w:sz w:val="19"/>
              </w:rPr>
              <w:t>25 stays</w:t>
            </w:r>
          </w:p>
        </w:tc>
      </w:tr>
      <w:tr>
        <w:tc>
          <w:tcPr>
            <w:tcW w:type="dxa" w:w="1872"/>
            <w:shd w:fill="F2F4F7"/>
            <w:tcMar>
              <w:top w:w="90" w:type="dxa"/>
              <w:bottom w:w="90" w:type="dxa"/>
              <w:left w:w="150" w:type="dxa"/>
              <w:right w:w="150" w:type="dxa"/>
            </w:tcMar>
          </w:tcPr>
          <w:p>
            <w:pPr>
              <w:jc w:val="left"/>
            </w:pPr>
            <w:r>
              <w:rPr>
                <w:rFonts w:ascii="Times New Roman" w:hAnsi="Times New Roman"/>
                <w:sz w:val="19"/>
              </w:rPr>
              <w:t>Deceased (Class 1)</w:t>
            </w:r>
          </w:p>
        </w:tc>
        <w:tc>
          <w:tcPr>
            <w:tcW w:type="dxa" w:w="1872"/>
            <w:shd w:fill="F2F4F7"/>
            <w:tcMar>
              <w:top w:w="90" w:type="dxa"/>
              <w:bottom w:w="90" w:type="dxa"/>
              <w:left w:w="150" w:type="dxa"/>
              <w:right w:w="150" w:type="dxa"/>
            </w:tcMar>
          </w:tcPr>
          <w:p>
            <w:pPr>
              <w:jc w:val="center"/>
            </w:pPr>
            <w:r>
              <w:rPr>
                <w:rFonts w:ascii="Times New Roman" w:hAnsi="Times New Roman"/>
                <w:sz w:val="19"/>
              </w:rPr>
              <w:t>15</w:t>
            </w:r>
          </w:p>
        </w:tc>
        <w:tc>
          <w:tcPr>
            <w:tcW w:type="dxa" w:w="1872"/>
            <w:shd w:fill="F2F4F7"/>
            <w:tcMar>
              <w:top w:w="90" w:type="dxa"/>
              <w:bottom w:w="90" w:type="dxa"/>
              <w:left w:w="150" w:type="dxa"/>
              <w:right w:w="150" w:type="dxa"/>
            </w:tcMar>
          </w:tcPr>
          <w:p>
            <w:pPr>
              <w:jc w:val="center"/>
            </w:pPr>
            <w:r>
              <w:rPr>
                <w:rFonts w:ascii="Times New Roman" w:hAnsi="Times New Roman"/>
                <w:sz w:val="19"/>
              </w:rPr>
              <w:t>10.72%</w:t>
            </w:r>
          </w:p>
        </w:tc>
        <w:tc>
          <w:tcPr>
            <w:tcW w:type="dxa" w:w="1872"/>
            <w:shd w:fill="F2F4F7"/>
            <w:tcMar>
              <w:top w:w="90" w:type="dxa"/>
              <w:bottom w:w="90" w:type="dxa"/>
              <w:left w:w="150" w:type="dxa"/>
              <w:right w:w="150" w:type="dxa"/>
            </w:tcMar>
          </w:tcPr>
          <w:p>
            <w:pPr>
              <w:jc w:val="center"/>
            </w:pPr>
            <w:r>
              <w:rPr>
                <w:rFonts w:ascii="Times New Roman" w:hAnsi="Times New Roman"/>
                <w:sz w:val="19"/>
              </w:rPr>
              <w:t>12 stays</w:t>
            </w:r>
          </w:p>
        </w:tc>
        <w:tc>
          <w:tcPr>
            <w:tcW w:type="dxa" w:w="1872"/>
            <w:shd w:fill="F2F4F7"/>
            <w:tcMar>
              <w:top w:w="90" w:type="dxa"/>
              <w:bottom w:w="90" w:type="dxa"/>
              <w:left w:w="150" w:type="dxa"/>
              <w:right w:w="150" w:type="dxa"/>
            </w:tcMar>
          </w:tcPr>
          <w:p>
            <w:pPr>
              <w:jc w:val="center"/>
            </w:pPr>
            <w:r>
              <w:rPr>
                <w:rFonts w:ascii="Times New Roman" w:hAnsi="Times New Roman"/>
                <w:sz w:val="19"/>
              </w:rPr>
              <w:t>3 stays</w:t>
            </w:r>
          </w:p>
        </w:tc>
      </w:tr>
      <w:tr>
        <w:tc>
          <w:tcPr>
            <w:tcW w:type="dxa" w:w="1872"/>
            <w:shd w:fill="FFFFFF"/>
            <w:tcMar>
              <w:top w:w="90" w:type="dxa"/>
              <w:bottom w:w="90" w:type="dxa"/>
              <w:left w:w="150" w:type="dxa"/>
              <w:right w:w="150" w:type="dxa"/>
            </w:tcMar>
          </w:tcPr>
          <w:p>
            <w:pPr>
              <w:jc w:val="left"/>
            </w:pPr>
            <w:r>
              <w:rPr>
                <w:rFonts w:ascii="Times New Roman" w:hAnsi="Times New Roman"/>
                <w:sz w:val="19"/>
              </w:rPr>
              <w:t>TOTAL DATASET</w:t>
            </w:r>
          </w:p>
        </w:tc>
        <w:tc>
          <w:tcPr>
            <w:tcW w:type="dxa" w:w="1872"/>
            <w:shd w:fill="FFFFFF"/>
            <w:tcMar>
              <w:top w:w="90" w:type="dxa"/>
              <w:bottom w:w="90" w:type="dxa"/>
              <w:left w:w="150" w:type="dxa"/>
              <w:right w:w="150" w:type="dxa"/>
            </w:tcMar>
          </w:tcPr>
          <w:p>
            <w:pPr>
              <w:jc w:val="center"/>
            </w:pPr>
            <w:r>
              <w:rPr>
                <w:rFonts w:ascii="Times New Roman" w:hAnsi="Times New Roman"/>
                <w:sz w:val="19"/>
              </w:rPr>
              <w:t>140 stays</w:t>
            </w:r>
          </w:p>
        </w:tc>
        <w:tc>
          <w:tcPr>
            <w:tcW w:type="dxa" w:w="1872"/>
            <w:shd w:fill="FFFFFF"/>
            <w:tcMar>
              <w:top w:w="90" w:type="dxa"/>
              <w:bottom w:w="90" w:type="dxa"/>
              <w:left w:w="150" w:type="dxa"/>
              <w:right w:w="150" w:type="dxa"/>
            </w:tcMar>
          </w:tcPr>
          <w:p>
            <w:pPr>
              <w:jc w:val="center"/>
            </w:pPr>
            <w:r>
              <w:rPr>
                <w:rFonts w:ascii="Times New Roman" w:hAnsi="Times New Roman"/>
                <w:sz w:val="19"/>
              </w:rPr>
              <w:t>100.00%</w:t>
            </w:r>
          </w:p>
        </w:tc>
        <w:tc>
          <w:tcPr>
            <w:tcW w:type="dxa" w:w="1872"/>
            <w:shd w:fill="FFFFFF"/>
            <w:tcMar>
              <w:top w:w="90" w:type="dxa"/>
              <w:bottom w:w="90" w:type="dxa"/>
              <w:left w:w="150" w:type="dxa"/>
              <w:right w:w="150" w:type="dxa"/>
            </w:tcMar>
          </w:tcPr>
          <w:p>
            <w:pPr>
              <w:jc w:val="center"/>
            </w:pPr>
            <w:r>
              <w:rPr>
                <w:rFonts w:ascii="Times New Roman" w:hAnsi="Times New Roman"/>
                <w:sz w:val="19"/>
              </w:rPr>
              <w:t>112 stays</w:t>
            </w:r>
          </w:p>
        </w:tc>
        <w:tc>
          <w:tcPr>
            <w:tcW w:type="dxa" w:w="1872"/>
            <w:shd w:fill="FFFFFF"/>
            <w:tcMar>
              <w:top w:w="90" w:type="dxa"/>
              <w:bottom w:w="90" w:type="dxa"/>
              <w:left w:w="150" w:type="dxa"/>
              <w:right w:w="150" w:type="dxa"/>
            </w:tcMar>
          </w:tcPr>
          <w:p>
            <w:pPr>
              <w:jc w:val="center"/>
            </w:pPr>
            <w:r>
              <w:rPr>
                <w:rFonts w:ascii="Times New Roman" w:hAnsi="Times New Roman"/>
                <w:sz w:val="19"/>
              </w:rPr>
              <w:t>28 stays</w:t>
            </w:r>
          </w:p>
        </w:tc>
      </w:tr>
    </w:tbl>
    <w:p>
      <w:pPr>
        <w:spacing w:after="120"/>
      </w:pPr>
    </w:p>
    <w:p>
      <w:pPr>
        <w:spacing w:before="240" w:after="80"/>
        <w:jc w:val="center"/>
      </w:pPr>
      <w:r>
        <w:drawing>
          <wp:inline xmlns:a="http://schemas.openxmlformats.org/drawingml/2006/main" xmlns:pic="http://schemas.openxmlformats.org/drawingml/2006/picture">
            <wp:extent cx="5486400" cy="1995055"/>
            <wp:docPr id="2" name="Picture 2"/>
            <wp:cNvGraphicFramePr>
              <a:graphicFrameLocks noChangeAspect="1"/>
            </wp:cNvGraphicFramePr>
            <a:graphic>
              <a:graphicData uri="http://schemas.openxmlformats.org/drawingml/2006/picture">
                <pic:pic>
                  <pic:nvPicPr>
                    <pic:cNvPr id="0" name="dataset_statistics_summary.png"/>
                    <pic:cNvPicPr/>
                  </pic:nvPicPr>
                  <pic:blipFill>
                    <a:blip r:embed="rId10"/>
                    <a:stretch>
                      <a:fillRect/>
                    </a:stretch>
                  </pic:blipFill>
                  <pic:spPr>
                    <a:xfrm>
                      <a:off x="0" y="0"/>
                      <a:ext cx="5486400" cy="1995055"/>
                    </a:xfrm>
                    <a:prstGeom prst="rect"/>
                  </pic:spPr>
                </pic:pic>
              </a:graphicData>
            </a:graphic>
          </wp:inline>
        </w:drawing>
      </w:r>
    </w:p>
    <w:p>
      <w:pPr>
        <w:spacing w:after="240"/>
        <w:jc w:val="center"/>
      </w:pPr>
      <w:r>
        <w:rPr>
          <w:rFonts w:ascii="Arial" w:hAnsi="Arial"/>
          <w:b/>
          <w:i/>
          <w:sz w:val="18"/>
        </w:rPr>
        <w:t>Fig. 2. MIMIC-IV Clinical Demo Cohort Demographics, ICU Admission Types, and Class Distribution.</w:t>
      </w:r>
    </w:p>
    <w:p>
      <w:pPr>
        <w:keepNext/>
        <w:spacing w:before="320" w:after="120"/>
        <w:jc w:val="left"/>
      </w:pPr>
      <w:r>
        <w:rPr>
          <w:rFonts w:ascii="Arial" w:hAnsi="Arial"/>
          <w:b/>
          <w:color w:val="1F4E79"/>
          <w:sz w:val="26"/>
        </w:rPr>
        <w:t>IV. Preprocessing &amp; Clinical Regularization Strategy</w:t>
      </w:r>
    </w:p>
    <w:p>
      <w:pPr>
        <w:spacing w:after="120" w:line="276" w:lineRule="auto"/>
        <w:jc w:val="both"/>
      </w:pPr>
      <w:r>
        <w:rPr>
          <w:rFonts w:ascii="Times New Roman" w:hAnsi="Times New Roman"/>
          <w:sz w:val="22"/>
        </w:rPr>
        <w:t>Raw clinical data is prone to telemetry noise, sensor displacement artifacts, and unit discrepancies. To ensure clinical validity, data preprocessing implements a multi-step regularization strategy:</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20" w:type="dxa"/>
              <w:bottom w:w="120" w:type="dxa"/>
              <w:left w:w="150" w:type="dxa"/>
              <w:right w:w="150" w:type="dxa"/>
            </w:tcMar>
          </w:tcPr>
          <w:p>
            <w:pPr>
              <w:jc w:val="center"/>
            </w:pPr>
            <w:r>
              <w:rPr>
                <w:rFonts w:ascii="Arial" w:hAnsi="Arial"/>
                <w:b/>
                <w:color w:val="FFFFFF"/>
                <w:sz w:val="19"/>
              </w:rPr>
              <w:t>Technique Name</w:t>
            </w:r>
          </w:p>
        </w:tc>
        <w:tc>
          <w:tcPr>
            <w:tcW w:type="dxa" w:w="3120"/>
            <w:shd w:fill="1F4E79"/>
            <w:tcMar>
              <w:top w:w="120" w:type="dxa"/>
              <w:bottom w:w="120" w:type="dxa"/>
              <w:left w:w="150" w:type="dxa"/>
              <w:right w:w="150" w:type="dxa"/>
            </w:tcMar>
          </w:tcPr>
          <w:p>
            <w:pPr>
              <w:jc w:val="center"/>
            </w:pPr>
            <w:r>
              <w:rPr>
                <w:rFonts w:ascii="Arial" w:hAnsi="Arial"/>
                <w:b/>
                <w:color w:val="FFFFFF"/>
                <w:sz w:val="19"/>
              </w:rPr>
              <w:t>Clinical Parameter / Formula</w:t>
            </w:r>
          </w:p>
        </w:tc>
        <w:tc>
          <w:tcPr>
            <w:tcW w:type="dxa" w:w="3120"/>
            <w:shd w:fill="1F4E79"/>
            <w:tcMar>
              <w:top w:w="120" w:type="dxa"/>
              <w:bottom w:w="120" w:type="dxa"/>
              <w:left w:w="150" w:type="dxa"/>
              <w:right w:w="150" w:type="dxa"/>
            </w:tcMar>
          </w:tcPr>
          <w:p>
            <w:pPr>
              <w:jc w:val="center"/>
            </w:pPr>
            <w:r>
              <w:rPr>
                <w:rFonts w:ascii="Arial" w:hAnsi="Arial"/>
                <w:b/>
                <w:color w:val="FFFFFF"/>
                <w:sz w:val="19"/>
              </w:rPr>
              <w:t>Medical Regularization Purpose</w:t>
            </w:r>
          </w:p>
        </w:tc>
      </w:tr>
      <w:tr>
        <w:tc>
          <w:tcPr>
            <w:tcW w:type="dxa" w:w="3120"/>
            <w:shd w:fill="FFFFFF"/>
            <w:tcMar>
              <w:top w:w="90" w:type="dxa"/>
              <w:bottom w:w="90" w:type="dxa"/>
              <w:left w:w="150" w:type="dxa"/>
              <w:right w:w="150" w:type="dxa"/>
            </w:tcMar>
          </w:tcPr>
          <w:p>
            <w:pPr>
              <w:jc w:val="left"/>
            </w:pPr>
            <w:r>
              <w:rPr>
                <w:rFonts w:ascii="Times New Roman" w:hAnsi="Times New Roman"/>
                <w:sz w:val="19"/>
              </w:rPr>
              <w:t>Temperature Unification</w:t>
            </w:r>
          </w:p>
        </w:tc>
        <w:tc>
          <w:tcPr>
            <w:tcW w:type="dxa" w:w="3120"/>
            <w:shd w:fill="FFFFFF"/>
            <w:tcMar>
              <w:top w:w="90" w:type="dxa"/>
              <w:bottom w:w="90" w:type="dxa"/>
              <w:left w:w="150" w:type="dxa"/>
              <w:right w:w="150" w:type="dxa"/>
            </w:tcMar>
          </w:tcPr>
          <w:p>
            <w:pPr>
              <w:jc w:val="center"/>
            </w:pPr>
            <w:r>
              <w:rPr>
                <w:rFonts w:ascii="Times New Roman" w:hAnsi="Times New Roman"/>
                <w:sz w:val="19"/>
              </w:rPr>
              <w:t>C = (F - 32) * 5 / 9</w:t>
            </w:r>
          </w:p>
        </w:tc>
        <w:tc>
          <w:tcPr>
            <w:tcW w:type="dxa" w:w="3120"/>
            <w:shd w:fill="FFFFFF"/>
            <w:tcMar>
              <w:top w:w="90" w:type="dxa"/>
              <w:bottom w:w="90" w:type="dxa"/>
              <w:left w:w="150" w:type="dxa"/>
              <w:right w:w="150" w:type="dxa"/>
            </w:tcMar>
          </w:tcPr>
          <w:p>
            <w:pPr>
              <w:jc w:val="center"/>
            </w:pPr>
            <w:r>
              <w:rPr>
                <w:rFonts w:ascii="Times New Roman" w:hAnsi="Times New Roman"/>
                <w:sz w:val="19"/>
              </w:rPr>
              <w:t>Normalizes Fahrenheit item IDs (223761) to Celsius (223762)</w:t>
            </w:r>
          </w:p>
        </w:tc>
      </w:tr>
      <w:tr>
        <w:tc>
          <w:tcPr>
            <w:tcW w:type="dxa" w:w="3120"/>
            <w:shd w:fill="F2F4F7"/>
            <w:tcMar>
              <w:top w:w="90" w:type="dxa"/>
              <w:bottom w:w="90" w:type="dxa"/>
              <w:left w:w="150" w:type="dxa"/>
              <w:right w:w="150" w:type="dxa"/>
            </w:tcMar>
          </w:tcPr>
          <w:p>
            <w:pPr>
              <w:jc w:val="left"/>
            </w:pPr>
            <w:r>
              <w:rPr>
                <w:rFonts w:ascii="Times New Roman" w:hAnsi="Times New Roman"/>
                <w:sz w:val="19"/>
              </w:rPr>
              <w:t>Outlier Scrubbing</w:t>
            </w:r>
          </w:p>
        </w:tc>
        <w:tc>
          <w:tcPr>
            <w:tcW w:type="dxa" w:w="3120"/>
            <w:shd w:fill="F2F4F7"/>
            <w:tcMar>
              <w:top w:w="90" w:type="dxa"/>
              <w:bottom w:w="90" w:type="dxa"/>
              <w:left w:w="150" w:type="dxa"/>
              <w:right w:w="150" w:type="dxa"/>
            </w:tcMar>
          </w:tcPr>
          <w:p>
            <w:pPr>
              <w:jc w:val="center"/>
            </w:pPr>
            <w:r>
              <w:rPr>
                <w:rFonts w:ascii="Times New Roman" w:hAnsi="Times New Roman"/>
                <w:sz w:val="19"/>
              </w:rPr>
              <w:t>HR [30, 220] bpm, Temp [32, 45] °C</w:t>
            </w:r>
          </w:p>
        </w:tc>
        <w:tc>
          <w:tcPr>
            <w:tcW w:type="dxa" w:w="3120"/>
            <w:shd w:fill="F2F4F7"/>
            <w:tcMar>
              <w:top w:w="90" w:type="dxa"/>
              <w:bottom w:w="90" w:type="dxa"/>
              <w:left w:w="150" w:type="dxa"/>
              <w:right w:w="150" w:type="dxa"/>
            </w:tcMar>
          </w:tcPr>
          <w:p>
            <w:pPr>
              <w:jc w:val="center"/>
            </w:pPr>
            <w:r>
              <w:rPr>
                <w:rFonts w:ascii="Times New Roman" w:hAnsi="Times New Roman"/>
                <w:sz w:val="19"/>
              </w:rPr>
              <w:t>Replaces physiological noise and sensor disconnections with NaN</w:t>
            </w:r>
          </w:p>
        </w:tc>
      </w:tr>
      <w:tr>
        <w:tc>
          <w:tcPr>
            <w:tcW w:type="dxa" w:w="3120"/>
            <w:shd w:fill="FFFFFF"/>
            <w:tcMar>
              <w:top w:w="90" w:type="dxa"/>
              <w:bottom w:w="90" w:type="dxa"/>
              <w:left w:w="150" w:type="dxa"/>
              <w:right w:w="150" w:type="dxa"/>
            </w:tcMar>
          </w:tcPr>
          <w:p>
            <w:pPr>
              <w:jc w:val="left"/>
            </w:pPr>
            <w:r>
              <w:rPr>
                <w:rFonts w:ascii="Times New Roman" w:hAnsi="Times New Roman"/>
                <w:sz w:val="19"/>
              </w:rPr>
              <w:t>Baseline Imputation</w:t>
            </w:r>
          </w:p>
        </w:tc>
        <w:tc>
          <w:tcPr>
            <w:tcW w:type="dxa" w:w="3120"/>
            <w:shd w:fill="FFFFFF"/>
            <w:tcMar>
              <w:top w:w="90" w:type="dxa"/>
              <w:bottom w:w="90" w:type="dxa"/>
              <w:left w:w="150" w:type="dxa"/>
              <w:right w:w="150" w:type="dxa"/>
            </w:tcMar>
          </w:tcPr>
          <w:p>
            <w:pPr>
              <w:jc w:val="center"/>
            </w:pPr>
            <w:r>
              <w:rPr>
                <w:rFonts w:ascii="Times New Roman" w:hAnsi="Times New Roman"/>
                <w:sz w:val="19"/>
              </w:rPr>
              <w:t>Potassium=4.2 mEq/L, Creatinine=0.9 mg/dL</w:t>
            </w:r>
          </w:p>
        </w:tc>
        <w:tc>
          <w:tcPr>
            <w:tcW w:type="dxa" w:w="3120"/>
            <w:shd w:fill="FFFFFF"/>
            <w:tcMar>
              <w:top w:w="90" w:type="dxa"/>
              <w:bottom w:w="90" w:type="dxa"/>
              <w:left w:w="150" w:type="dxa"/>
              <w:right w:w="150" w:type="dxa"/>
            </w:tcMar>
          </w:tcPr>
          <w:p>
            <w:pPr>
              <w:jc w:val="center"/>
            </w:pPr>
            <w:r>
              <w:rPr>
                <w:rFonts w:ascii="Times New Roman" w:hAnsi="Times New Roman"/>
                <w:sz w:val="19"/>
              </w:rPr>
              <w:t>Imputes missing labs with healthy reference baselines</w:t>
            </w:r>
          </w:p>
        </w:tc>
      </w:tr>
      <w:tr>
        <w:tc>
          <w:tcPr>
            <w:tcW w:type="dxa" w:w="3120"/>
            <w:shd w:fill="F2F4F7"/>
            <w:tcMar>
              <w:top w:w="90" w:type="dxa"/>
              <w:bottom w:w="90" w:type="dxa"/>
              <w:left w:w="150" w:type="dxa"/>
              <w:right w:w="150" w:type="dxa"/>
            </w:tcMar>
          </w:tcPr>
          <w:p>
            <w:pPr>
              <w:jc w:val="left"/>
            </w:pPr>
            <w:r>
              <w:rPr>
                <w:rFonts w:ascii="Times New Roman" w:hAnsi="Times New Roman"/>
                <w:sz w:val="19"/>
              </w:rPr>
              <w:t>Informative Missingness</w:t>
            </w:r>
          </w:p>
        </w:tc>
        <w:tc>
          <w:tcPr>
            <w:tcW w:type="dxa" w:w="3120"/>
            <w:shd w:fill="F2F4F7"/>
            <w:tcMar>
              <w:top w:w="90" w:type="dxa"/>
              <w:bottom w:w="90" w:type="dxa"/>
              <w:left w:w="150" w:type="dxa"/>
              <w:right w:w="150" w:type="dxa"/>
            </w:tcMar>
          </w:tcPr>
          <w:p>
            <w:pPr>
              <w:jc w:val="center"/>
            </w:pPr>
            <w:r>
              <w:rPr>
                <w:rFonts w:ascii="Times New Roman" w:hAnsi="Times New Roman"/>
                <w:sz w:val="19"/>
              </w:rPr>
              <w:t>is_missing_&lt;lab_name&gt;</w:t>
            </w:r>
          </w:p>
        </w:tc>
        <w:tc>
          <w:tcPr>
            <w:tcW w:type="dxa" w:w="3120"/>
            <w:shd w:fill="F2F4F7"/>
            <w:tcMar>
              <w:top w:w="90" w:type="dxa"/>
              <w:bottom w:w="90" w:type="dxa"/>
              <w:left w:w="150" w:type="dxa"/>
              <w:right w:w="150" w:type="dxa"/>
            </w:tcMar>
          </w:tcPr>
          <w:p>
            <w:pPr>
              <w:jc w:val="center"/>
            </w:pPr>
            <w:r>
              <w:rPr>
                <w:rFonts w:ascii="Times New Roman" w:hAnsi="Times New Roman"/>
                <w:sz w:val="19"/>
              </w:rPr>
              <w:t>Encodes physician diagnostic ordering decisions as binary flags</w:t>
            </w:r>
          </w:p>
        </w:tc>
      </w:tr>
      <w:tr>
        <w:tc>
          <w:tcPr>
            <w:tcW w:type="dxa" w:w="3120"/>
            <w:shd w:fill="FFFFFF"/>
            <w:tcMar>
              <w:top w:w="90" w:type="dxa"/>
              <w:bottom w:w="90" w:type="dxa"/>
              <w:left w:w="150" w:type="dxa"/>
              <w:right w:w="150" w:type="dxa"/>
            </w:tcMar>
          </w:tcPr>
          <w:p>
            <w:pPr>
              <w:jc w:val="left"/>
            </w:pPr>
            <w:r>
              <w:rPr>
                <w:rFonts w:ascii="Times New Roman" w:hAnsi="Times New Roman"/>
                <w:sz w:val="19"/>
              </w:rPr>
              <w:t>Z-Score Scaling</w:t>
            </w:r>
          </w:p>
        </w:tc>
        <w:tc>
          <w:tcPr>
            <w:tcW w:type="dxa" w:w="3120"/>
            <w:shd w:fill="FFFFFF"/>
            <w:tcMar>
              <w:top w:w="90" w:type="dxa"/>
              <w:bottom w:w="90" w:type="dxa"/>
              <w:left w:w="150" w:type="dxa"/>
              <w:right w:w="150" w:type="dxa"/>
            </w:tcMar>
          </w:tcPr>
          <w:p>
            <w:pPr>
              <w:jc w:val="center"/>
            </w:pPr>
            <w:r>
              <w:rPr>
                <w:rFonts w:ascii="Times New Roman" w:hAnsi="Times New Roman"/>
                <w:sz w:val="19"/>
              </w:rPr>
              <w:t>Mean = 0, Std = 1</w:t>
            </w:r>
          </w:p>
        </w:tc>
        <w:tc>
          <w:tcPr>
            <w:tcW w:type="dxa" w:w="3120"/>
            <w:shd w:fill="FFFFFF"/>
            <w:tcMar>
              <w:top w:w="90" w:type="dxa"/>
              <w:bottom w:w="90" w:type="dxa"/>
              <w:left w:w="150" w:type="dxa"/>
              <w:right w:w="150" w:type="dxa"/>
            </w:tcMar>
          </w:tcPr>
          <w:p>
            <w:pPr>
              <w:jc w:val="center"/>
            </w:pPr>
            <w:r>
              <w:rPr>
                <w:rFonts w:ascii="Times New Roman" w:hAnsi="Times New Roman"/>
                <w:sz w:val="19"/>
              </w:rPr>
              <w:t>Standardizes telemetry feature scales for regularized model fit</w:t>
            </w:r>
          </w:p>
        </w:tc>
      </w:tr>
    </w:tbl>
    <w:p>
      <w:pPr>
        <w:spacing w:after="120"/>
      </w:pPr>
    </w:p>
    <w:p>
      <w:pPr>
        <w:spacing w:before="240" w:after="80"/>
        <w:jc w:val="center"/>
      </w:pPr>
      <w:r>
        <w:drawing>
          <wp:inline xmlns:a="http://schemas.openxmlformats.org/drawingml/2006/main" xmlns:pic="http://schemas.openxmlformats.org/drawingml/2006/picture">
            <wp:extent cx="5303520" cy="4640580"/>
            <wp:docPr id="3" name="Picture 3"/>
            <wp:cNvGraphicFramePr>
              <a:graphicFrameLocks noChangeAspect="1"/>
            </wp:cNvGraphicFramePr>
            <a:graphic>
              <a:graphicData uri="http://schemas.openxmlformats.org/drawingml/2006/picture">
                <pic:pic>
                  <pic:nvPicPr>
                    <pic:cNvPr id="0" name="variable_correlation_heatmap.png"/>
                    <pic:cNvPicPr/>
                  </pic:nvPicPr>
                  <pic:blipFill>
                    <a:blip r:embed="rId11"/>
                    <a:stretch>
                      <a:fillRect/>
                    </a:stretch>
                  </pic:blipFill>
                  <pic:spPr>
                    <a:xfrm>
                      <a:off x="0" y="0"/>
                      <a:ext cx="5303520" cy="4640580"/>
                    </a:xfrm>
                    <a:prstGeom prst="rect"/>
                  </pic:spPr>
                </pic:pic>
              </a:graphicData>
            </a:graphic>
          </wp:inline>
        </w:drawing>
      </w:r>
    </w:p>
    <w:p>
      <w:pPr>
        <w:spacing w:after="240"/>
        <w:jc w:val="center"/>
      </w:pPr>
      <w:r>
        <w:rPr>
          <w:rFonts w:ascii="Arial" w:hAnsi="Arial"/>
          <w:b/>
          <w:i/>
          <w:sz w:val="18"/>
        </w:rPr>
        <w:t>Fig. 3. Multicollinearity Correlation Matrix among Bedside Vitals and Laboratory Biomarkers.</w:t>
      </w:r>
    </w:p>
    <w:p>
      <w:pPr>
        <w:keepNext/>
        <w:spacing w:before="320" w:after="120"/>
        <w:jc w:val="left"/>
      </w:pPr>
      <w:r>
        <w:rPr>
          <w:rFonts w:ascii="Arial" w:hAnsi="Arial"/>
          <w:b/>
          <w:color w:val="1F4E79"/>
          <w:sz w:val="26"/>
        </w:rPr>
        <w:t>V. 24-Hour Temporal Slicing &amp; Feature Engineering</w:t>
      </w:r>
    </w:p>
    <w:p>
      <w:pPr>
        <w:spacing w:after="120" w:line="276" w:lineRule="auto"/>
        <w:jc w:val="both"/>
      </w:pPr>
      <w:r>
        <w:rPr>
          <w:rFonts w:ascii="Times New Roman" w:hAnsi="Times New Roman"/>
          <w:sz w:val="22"/>
        </w:rPr>
        <w:t>To strictly prevent temporal data leakage, all observations are sliced to the first 24 hours of ICU admission (t &lt;= intime + 24h). For 15 physiological parameter groups (7 vitals, 8 lab panels), 6 dynamic statistical aggregations are computed:</w:t>
      </w:r>
    </w:p>
    <w:p>
      <w:pPr>
        <w:spacing w:after="120" w:line="276" w:lineRule="auto"/>
        <w:jc w:val="both"/>
      </w:pPr>
      <w:r>
        <w:rPr>
          <w:rFonts w:ascii="Times New Roman" w:hAnsi="Times New Roman"/>
          <w:sz w:val="22"/>
        </w:rPr>
        <w:t>1. Mean (_mean): Establishes the patient's baseline physiological state.</w:t>
        <w:br/>
        <w:t>2. Minimum (_min): Captures acute decompensation (hypoxia, bradycardia, hypotension).</w:t>
        <w:br/>
        <w:t>3. Maximum (_max): Captures extreme crisis states (hypertension, hyperthermia).</w:t>
        <w:br/>
        <w:t>4. Standard Deviation (_std): Quantifies 24-hour physiological volatility.</w:t>
        <w:br/>
        <w:t>5. Exit Value (_latest_value): Reflects patient state at the end of the 24h window.</w:t>
        <w:br/>
        <w:t>6. Trajectory Trend (_trend): Calculated as Latest Value - First Value.</w:t>
      </w:r>
    </w:p>
    <w:p>
      <w:pPr>
        <w:keepNext/>
        <w:spacing w:before="320" w:after="120"/>
        <w:jc w:val="left"/>
      </w:pPr>
      <w:r>
        <w:rPr>
          <w:rFonts w:ascii="Arial" w:hAnsi="Arial"/>
          <w:b/>
          <w:color w:val="1F4E79"/>
          <w:sz w:val="26"/>
        </w:rPr>
        <w:t>VI. Machine Learning Model Architecture &amp; Hyperparameters</w:t>
      </w:r>
    </w:p>
    <w:p>
      <w:pPr>
        <w:spacing w:after="120" w:line="276" w:lineRule="auto"/>
        <w:jc w:val="both"/>
      </w:pPr>
      <w:r>
        <w:rPr>
          <w:rFonts w:ascii="Times New Roman" w:hAnsi="Times New Roman"/>
          <w:sz w:val="22"/>
        </w:rPr>
        <w:t>We evaluated 7 individual ML algorithms (Logistic Regression, Random Forest, Balanced Random Forest, XGBoost, LightGBM, CatBoost, ExtraTrees) and 2 Ensembles (Voting, Stacking). Table IV details the global training setup:</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20" w:type="dxa"/>
              <w:bottom w:w="120" w:type="dxa"/>
              <w:left w:w="150" w:type="dxa"/>
              <w:right w:w="150" w:type="dxa"/>
            </w:tcMar>
          </w:tcPr>
          <w:p>
            <w:pPr>
              <w:jc w:val="center"/>
            </w:pPr>
            <w:r>
              <w:rPr>
                <w:rFonts w:ascii="Arial" w:hAnsi="Arial"/>
                <w:b/>
                <w:color w:val="FFFFFF"/>
                <w:sz w:val="19"/>
              </w:rPr>
              <w:t>Hyperparameter / Setup</w:t>
            </w:r>
          </w:p>
        </w:tc>
        <w:tc>
          <w:tcPr>
            <w:tcW w:type="dxa" w:w="3120"/>
            <w:shd w:fill="1F4E79"/>
            <w:tcMar>
              <w:top w:w="120" w:type="dxa"/>
              <w:bottom w:w="120" w:type="dxa"/>
              <w:left w:w="150" w:type="dxa"/>
              <w:right w:w="150" w:type="dxa"/>
            </w:tcMar>
          </w:tcPr>
          <w:p>
            <w:pPr>
              <w:jc w:val="center"/>
            </w:pPr>
            <w:r>
              <w:rPr>
                <w:rFonts w:ascii="Arial" w:hAnsi="Arial"/>
                <w:b/>
                <w:color w:val="FFFFFF"/>
                <w:sz w:val="19"/>
              </w:rPr>
              <w:t>Configured Value</w:t>
            </w:r>
          </w:p>
        </w:tc>
        <w:tc>
          <w:tcPr>
            <w:tcW w:type="dxa" w:w="3120"/>
            <w:shd w:fill="1F4E79"/>
            <w:tcMar>
              <w:top w:w="120" w:type="dxa"/>
              <w:bottom w:w="120" w:type="dxa"/>
              <w:left w:w="150" w:type="dxa"/>
              <w:right w:w="150" w:type="dxa"/>
            </w:tcMar>
          </w:tcPr>
          <w:p>
            <w:pPr>
              <w:jc w:val="center"/>
            </w:pPr>
            <w:r>
              <w:rPr>
                <w:rFonts w:ascii="Arial" w:hAnsi="Arial"/>
                <w:b/>
                <w:color w:val="FFFFFF"/>
                <w:sz w:val="19"/>
              </w:rPr>
              <w:t>Clinical &amp; Technical Notes</w:t>
            </w:r>
          </w:p>
        </w:tc>
      </w:tr>
      <w:tr>
        <w:tc>
          <w:tcPr>
            <w:tcW w:type="dxa" w:w="3120"/>
            <w:shd w:fill="FFFFFF"/>
            <w:tcMar>
              <w:top w:w="90" w:type="dxa"/>
              <w:bottom w:w="90" w:type="dxa"/>
              <w:left w:w="150" w:type="dxa"/>
              <w:right w:w="150" w:type="dxa"/>
            </w:tcMar>
          </w:tcPr>
          <w:p>
            <w:pPr>
              <w:jc w:val="left"/>
            </w:pPr>
            <w:r>
              <w:rPr>
                <w:rFonts w:ascii="Times New Roman" w:hAnsi="Times New Roman"/>
                <w:sz w:val="19"/>
              </w:rPr>
              <w:t>Observation Window</w:t>
            </w:r>
          </w:p>
        </w:tc>
        <w:tc>
          <w:tcPr>
            <w:tcW w:type="dxa" w:w="3120"/>
            <w:shd w:fill="FFFFFF"/>
            <w:tcMar>
              <w:top w:w="90" w:type="dxa"/>
              <w:bottom w:w="90" w:type="dxa"/>
              <w:left w:w="150" w:type="dxa"/>
              <w:right w:w="150" w:type="dxa"/>
            </w:tcMar>
          </w:tcPr>
          <w:p>
            <w:pPr>
              <w:jc w:val="center"/>
            </w:pPr>
            <w:r>
              <w:rPr>
                <w:rFonts w:ascii="Times New Roman" w:hAnsi="Times New Roman"/>
                <w:sz w:val="19"/>
              </w:rPr>
              <w:t>t &lt;= intime + 24 hours</w:t>
            </w:r>
          </w:p>
        </w:tc>
        <w:tc>
          <w:tcPr>
            <w:tcW w:type="dxa" w:w="3120"/>
            <w:shd w:fill="FFFFFF"/>
            <w:tcMar>
              <w:top w:w="90" w:type="dxa"/>
              <w:bottom w:w="90" w:type="dxa"/>
              <w:left w:w="150" w:type="dxa"/>
              <w:right w:w="150" w:type="dxa"/>
            </w:tcMar>
          </w:tcPr>
          <w:p>
            <w:pPr>
              <w:jc w:val="center"/>
            </w:pPr>
            <w:r>
              <w:rPr>
                <w:rFonts w:ascii="Times New Roman" w:hAnsi="Times New Roman"/>
                <w:sz w:val="19"/>
              </w:rPr>
              <w:t>Eliminates temporal data leakage</w:t>
            </w:r>
          </w:p>
        </w:tc>
      </w:tr>
      <w:tr>
        <w:tc>
          <w:tcPr>
            <w:tcW w:type="dxa" w:w="3120"/>
            <w:shd w:fill="F2F4F7"/>
            <w:tcMar>
              <w:top w:w="90" w:type="dxa"/>
              <w:bottom w:w="90" w:type="dxa"/>
              <w:left w:w="150" w:type="dxa"/>
              <w:right w:w="150" w:type="dxa"/>
            </w:tcMar>
          </w:tcPr>
          <w:p>
            <w:pPr>
              <w:jc w:val="left"/>
            </w:pPr>
            <w:r>
              <w:rPr>
                <w:rFonts w:ascii="Times New Roman" w:hAnsi="Times New Roman"/>
                <w:sz w:val="19"/>
              </w:rPr>
              <w:t>Clinical Biomarkers</w:t>
            </w:r>
          </w:p>
        </w:tc>
        <w:tc>
          <w:tcPr>
            <w:tcW w:type="dxa" w:w="3120"/>
            <w:shd w:fill="F2F4F7"/>
            <w:tcMar>
              <w:top w:w="90" w:type="dxa"/>
              <w:bottom w:w="90" w:type="dxa"/>
              <w:left w:w="150" w:type="dxa"/>
              <w:right w:w="150" w:type="dxa"/>
            </w:tcMar>
          </w:tcPr>
          <w:p>
            <w:pPr>
              <w:jc w:val="center"/>
            </w:pPr>
            <w:r>
              <w:rPr>
                <w:rFonts w:ascii="Times New Roman" w:hAnsi="Times New Roman"/>
                <w:sz w:val="19"/>
              </w:rPr>
              <w:t>13 Core Biomarkers</w:t>
            </w:r>
          </w:p>
        </w:tc>
        <w:tc>
          <w:tcPr>
            <w:tcW w:type="dxa" w:w="3120"/>
            <w:shd w:fill="F2F4F7"/>
            <w:tcMar>
              <w:top w:w="90" w:type="dxa"/>
              <w:bottom w:w="90" w:type="dxa"/>
              <w:left w:w="150" w:type="dxa"/>
              <w:right w:w="150" w:type="dxa"/>
            </w:tcMar>
          </w:tcPr>
          <w:p>
            <w:pPr>
              <w:jc w:val="center"/>
            </w:pPr>
            <w:r>
              <w:rPr>
                <w:rFonts w:ascii="Times New Roman" w:hAnsi="Times New Roman"/>
                <w:sz w:val="19"/>
              </w:rPr>
              <w:t>Prevents high-dimensional p &gt; N overfitting</w:t>
            </w:r>
          </w:p>
        </w:tc>
      </w:tr>
      <w:tr>
        <w:tc>
          <w:tcPr>
            <w:tcW w:type="dxa" w:w="3120"/>
            <w:shd w:fill="FFFFFF"/>
            <w:tcMar>
              <w:top w:w="90" w:type="dxa"/>
              <w:bottom w:w="90" w:type="dxa"/>
              <w:left w:w="150" w:type="dxa"/>
              <w:right w:w="150" w:type="dxa"/>
            </w:tcMar>
          </w:tcPr>
          <w:p>
            <w:pPr>
              <w:jc w:val="left"/>
            </w:pPr>
            <w:r>
              <w:rPr>
                <w:rFonts w:ascii="Times New Roman" w:hAnsi="Times New Roman"/>
                <w:sz w:val="19"/>
              </w:rPr>
              <w:t>Class Weighting</w:t>
            </w:r>
          </w:p>
        </w:tc>
        <w:tc>
          <w:tcPr>
            <w:tcW w:type="dxa" w:w="3120"/>
            <w:shd w:fill="FFFFFF"/>
            <w:tcMar>
              <w:top w:w="90" w:type="dxa"/>
              <w:bottom w:w="90" w:type="dxa"/>
              <w:left w:w="150" w:type="dxa"/>
              <w:right w:w="150" w:type="dxa"/>
            </w:tcMar>
          </w:tcPr>
          <w:p>
            <w:pPr>
              <w:jc w:val="center"/>
            </w:pPr>
            <w:r>
              <w:rPr>
                <w:rFonts w:ascii="Times New Roman" w:hAnsi="Times New Roman"/>
                <w:sz w:val="19"/>
              </w:rPr>
              <w:t>Balanced / Cost-Sensitive</w:t>
            </w:r>
          </w:p>
        </w:tc>
        <w:tc>
          <w:tcPr>
            <w:tcW w:type="dxa" w:w="3120"/>
            <w:shd w:fill="FFFFFF"/>
            <w:tcMar>
              <w:top w:w="90" w:type="dxa"/>
              <w:bottom w:w="90" w:type="dxa"/>
              <w:left w:w="150" w:type="dxa"/>
              <w:right w:w="150" w:type="dxa"/>
            </w:tcMar>
          </w:tcPr>
          <w:p>
            <w:pPr>
              <w:jc w:val="center"/>
            </w:pPr>
            <w:r>
              <w:rPr>
                <w:rFonts w:ascii="Times New Roman" w:hAnsi="Times New Roman"/>
                <w:sz w:val="19"/>
              </w:rPr>
              <w:t>Adjusts estimator loss function for minority mortality class</w:t>
            </w:r>
          </w:p>
        </w:tc>
      </w:tr>
      <w:tr>
        <w:tc>
          <w:tcPr>
            <w:tcW w:type="dxa" w:w="3120"/>
            <w:shd w:fill="F2F4F7"/>
            <w:tcMar>
              <w:top w:w="90" w:type="dxa"/>
              <w:bottom w:w="90" w:type="dxa"/>
              <w:left w:w="150" w:type="dxa"/>
              <w:right w:w="150" w:type="dxa"/>
            </w:tcMar>
          </w:tcPr>
          <w:p>
            <w:pPr>
              <w:jc w:val="left"/>
            </w:pPr>
            <w:r>
              <w:rPr>
                <w:rFonts w:ascii="Times New Roman" w:hAnsi="Times New Roman"/>
                <w:sz w:val="19"/>
              </w:rPr>
              <w:t>Cross-Validation</w:t>
            </w:r>
          </w:p>
        </w:tc>
        <w:tc>
          <w:tcPr>
            <w:tcW w:type="dxa" w:w="3120"/>
            <w:shd w:fill="F2F4F7"/>
            <w:tcMar>
              <w:top w:w="90" w:type="dxa"/>
              <w:bottom w:w="90" w:type="dxa"/>
              <w:left w:w="150" w:type="dxa"/>
              <w:right w:w="150" w:type="dxa"/>
            </w:tcMar>
          </w:tcPr>
          <w:p>
            <w:pPr>
              <w:jc w:val="center"/>
            </w:pPr>
            <w:r>
              <w:rPr>
                <w:rFonts w:ascii="Times New Roman" w:hAnsi="Times New Roman"/>
                <w:sz w:val="19"/>
              </w:rPr>
              <w:t>Stratified 5-Fold Split</w:t>
            </w:r>
          </w:p>
        </w:tc>
        <w:tc>
          <w:tcPr>
            <w:tcW w:type="dxa" w:w="3120"/>
            <w:shd w:fill="F2F4F7"/>
            <w:tcMar>
              <w:top w:w="90" w:type="dxa"/>
              <w:bottom w:w="90" w:type="dxa"/>
              <w:left w:w="150" w:type="dxa"/>
              <w:right w:w="150" w:type="dxa"/>
            </w:tcMar>
          </w:tcPr>
          <w:p>
            <w:pPr>
              <w:jc w:val="center"/>
            </w:pPr>
            <w:r>
              <w:rPr>
                <w:rFonts w:ascii="Times New Roman" w:hAnsi="Times New Roman"/>
                <w:sz w:val="19"/>
              </w:rPr>
              <w:t>Ensures stable validation split ratios across folds</w:t>
            </w:r>
          </w:p>
        </w:tc>
      </w:tr>
      <w:tr>
        <w:tc>
          <w:tcPr>
            <w:tcW w:type="dxa" w:w="3120"/>
            <w:shd w:fill="FFFFFF"/>
            <w:tcMar>
              <w:top w:w="90" w:type="dxa"/>
              <w:bottom w:w="90" w:type="dxa"/>
              <w:left w:w="150" w:type="dxa"/>
              <w:right w:w="150" w:type="dxa"/>
            </w:tcMar>
          </w:tcPr>
          <w:p>
            <w:pPr>
              <w:jc w:val="left"/>
            </w:pPr>
            <w:r>
              <w:rPr>
                <w:rFonts w:ascii="Times New Roman" w:hAnsi="Times New Roman"/>
                <w:sz w:val="19"/>
              </w:rPr>
              <w:t>Optimization Metric</w:t>
            </w:r>
          </w:p>
        </w:tc>
        <w:tc>
          <w:tcPr>
            <w:tcW w:type="dxa" w:w="3120"/>
            <w:shd w:fill="FFFFFF"/>
            <w:tcMar>
              <w:top w:w="90" w:type="dxa"/>
              <w:bottom w:w="90" w:type="dxa"/>
              <w:left w:w="150" w:type="dxa"/>
              <w:right w:w="150" w:type="dxa"/>
            </w:tcMar>
          </w:tcPr>
          <w:p>
            <w:pPr>
              <w:jc w:val="center"/>
            </w:pPr>
            <w:r>
              <w:rPr>
                <w:rFonts w:ascii="Times New Roman" w:hAnsi="Times New Roman"/>
                <w:sz w:val="19"/>
              </w:rPr>
              <w:t>Youden's J Statistic (99 steps)</w:t>
            </w:r>
          </w:p>
        </w:tc>
        <w:tc>
          <w:tcPr>
            <w:tcW w:type="dxa" w:w="3120"/>
            <w:shd w:fill="FFFFFF"/>
            <w:tcMar>
              <w:top w:w="90" w:type="dxa"/>
              <w:bottom w:w="90" w:type="dxa"/>
              <w:left w:w="150" w:type="dxa"/>
              <w:right w:w="150" w:type="dxa"/>
            </w:tcMar>
          </w:tcPr>
          <w:p>
            <w:pPr>
              <w:jc w:val="center"/>
            </w:pPr>
            <w:r>
              <w:rPr>
                <w:rFonts w:ascii="Times New Roman" w:hAnsi="Times New Roman"/>
                <w:sz w:val="19"/>
              </w:rPr>
              <w:t>Maximizes clinical sensitivity while controlling false alerts</w:t>
            </w:r>
          </w:p>
        </w:tc>
      </w:tr>
      <w:tr>
        <w:tc>
          <w:tcPr>
            <w:tcW w:type="dxa" w:w="3120"/>
            <w:shd w:fill="F2F4F7"/>
            <w:tcMar>
              <w:top w:w="90" w:type="dxa"/>
              <w:bottom w:w="90" w:type="dxa"/>
              <w:left w:w="150" w:type="dxa"/>
              <w:right w:w="150" w:type="dxa"/>
            </w:tcMar>
          </w:tcPr>
          <w:p>
            <w:pPr>
              <w:jc w:val="left"/>
            </w:pPr>
            <w:r>
              <w:rPr>
                <w:rFonts w:ascii="Times New Roman" w:hAnsi="Times New Roman"/>
                <w:sz w:val="19"/>
              </w:rPr>
              <w:t>Inference Perturbations</w:t>
            </w:r>
          </w:p>
        </w:tc>
        <w:tc>
          <w:tcPr>
            <w:tcW w:type="dxa" w:w="3120"/>
            <w:shd w:fill="F2F4F7"/>
            <w:tcMar>
              <w:top w:w="90" w:type="dxa"/>
              <w:bottom w:w="90" w:type="dxa"/>
              <w:left w:w="150" w:type="dxa"/>
              <w:right w:w="150" w:type="dxa"/>
            </w:tcMar>
          </w:tcPr>
          <w:p>
            <w:pPr>
              <w:jc w:val="center"/>
            </w:pPr>
            <w:r>
              <w:rPr>
                <w:rFonts w:ascii="Times New Roman" w:hAnsi="Times New Roman"/>
                <w:sz w:val="19"/>
              </w:rPr>
              <w:t>Streamlit Bedside Sliders</w:t>
            </w:r>
          </w:p>
        </w:tc>
        <w:tc>
          <w:tcPr>
            <w:tcW w:type="dxa" w:w="3120"/>
            <w:shd w:fill="F2F4F7"/>
            <w:tcMar>
              <w:top w:w="90" w:type="dxa"/>
              <w:bottom w:w="90" w:type="dxa"/>
              <w:left w:w="150" w:type="dxa"/>
              <w:right w:w="150" w:type="dxa"/>
            </w:tcMar>
          </w:tcPr>
          <w:p>
            <w:pPr>
              <w:jc w:val="center"/>
            </w:pPr>
            <w:r>
              <w:rPr>
                <w:rFonts w:ascii="Times New Roman" w:hAnsi="Times New Roman"/>
                <w:sz w:val="19"/>
              </w:rPr>
              <w:t>Enables real-time dynamic clinician sensitivity checks</w:t>
            </w:r>
          </w:p>
        </w:tc>
      </w:tr>
    </w:tbl>
    <w:p>
      <w:pPr>
        <w:spacing w:after="120"/>
      </w:pPr>
    </w:p>
    <w:p>
      <w:pPr>
        <w:keepNext/>
        <w:spacing w:before="320" w:after="120"/>
        <w:jc w:val="left"/>
      </w:pPr>
      <w:r>
        <w:rPr>
          <w:rFonts w:ascii="Arial" w:hAnsi="Arial"/>
          <w:b/>
          <w:color w:val="1F4E79"/>
          <w:sz w:val="26"/>
        </w:rPr>
        <w:t>VII. Experimental Results &amp; Model Leaderboard</w:t>
      </w:r>
    </w:p>
    <w:p>
      <w:pPr>
        <w:spacing w:after="120" w:line="276" w:lineRule="auto"/>
        <w:jc w:val="both"/>
      </w:pPr>
      <w:r>
        <w:rPr>
          <w:rFonts w:ascii="Times New Roman" w:hAnsi="Times New Roman"/>
          <w:sz w:val="22"/>
        </w:rPr>
        <w:t>Models were evaluated on a stratified holdout test split (28 ICU stays). Decision thresholds were optimized fold-wise using Youden's J statistic (J = Sensitivity + Specificity - 1) to resolve majority-class collapse.</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F4E79"/>
            <w:tcMar>
              <w:top w:w="120" w:type="dxa"/>
              <w:bottom w:w="120" w:type="dxa"/>
              <w:left w:w="150" w:type="dxa"/>
              <w:right w:w="150" w:type="dxa"/>
            </w:tcMar>
          </w:tcPr>
          <w:p>
            <w:pPr>
              <w:jc w:val="center"/>
            </w:pPr>
            <w:r>
              <w:rPr>
                <w:rFonts w:ascii="Arial" w:hAnsi="Arial"/>
                <w:b/>
                <w:color w:val="FFFFFF"/>
                <w:sz w:val="19"/>
              </w:rPr>
              <w:t>Model Name</w:t>
            </w:r>
          </w:p>
        </w:tc>
        <w:tc>
          <w:tcPr>
            <w:tcW w:type="dxa" w:w="1170"/>
            <w:shd w:fill="1F4E79"/>
            <w:tcMar>
              <w:top w:w="120" w:type="dxa"/>
              <w:bottom w:w="120" w:type="dxa"/>
              <w:left w:w="150" w:type="dxa"/>
              <w:right w:w="150" w:type="dxa"/>
            </w:tcMar>
          </w:tcPr>
          <w:p>
            <w:pPr>
              <w:jc w:val="center"/>
            </w:pPr>
            <w:r>
              <w:rPr>
                <w:rFonts w:ascii="Arial" w:hAnsi="Arial"/>
                <w:b/>
                <w:color w:val="FFFFFF"/>
                <w:sz w:val="19"/>
              </w:rPr>
              <w:t>Opt. Thresh</w:t>
            </w:r>
          </w:p>
        </w:tc>
        <w:tc>
          <w:tcPr>
            <w:tcW w:type="dxa" w:w="1170"/>
            <w:shd w:fill="1F4E79"/>
            <w:tcMar>
              <w:top w:w="120" w:type="dxa"/>
              <w:bottom w:w="120" w:type="dxa"/>
              <w:left w:w="150" w:type="dxa"/>
              <w:right w:w="150" w:type="dxa"/>
            </w:tcMar>
          </w:tcPr>
          <w:p>
            <w:pPr>
              <w:jc w:val="center"/>
            </w:pPr>
            <w:r>
              <w:rPr>
                <w:rFonts w:ascii="Arial" w:hAnsi="Arial"/>
                <w:b/>
                <w:color w:val="FFFFFF"/>
                <w:sz w:val="19"/>
              </w:rPr>
              <w:t>Test Accuracy</w:t>
            </w:r>
          </w:p>
        </w:tc>
        <w:tc>
          <w:tcPr>
            <w:tcW w:type="dxa" w:w="1170"/>
            <w:shd w:fill="1F4E79"/>
            <w:tcMar>
              <w:top w:w="120" w:type="dxa"/>
              <w:bottom w:w="120" w:type="dxa"/>
              <w:left w:w="150" w:type="dxa"/>
              <w:right w:w="150" w:type="dxa"/>
            </w:tcMar>
          </w:tcPr>
          <w:p>
            <w:pPr>
              <w:jc w:val="center"/>
            </w:pPr>
            <w:r>
              <w:rPr>
                <w:rFonts w:ascii="Arial" w:hAnsi="Arial"/>
                <w:b/>
                <w:color w:val="FFFFFF"/>
                <w:sz w:val="19"/>
              </w:rPr>
              <w:t>Test Specificity</w:t>
            </w:r>
          </w:p>
        </w:tc>
        <w:tc>
          <w:tcPr>
            <w:tcW w:type="dxa" w:w="1170"/>
            <w:shd w:fill="1F4E79"/>
            <w:tcMar>
              <w:top w:w="120" w:type="dxa"/>
              <w:bottom w:w="120" w:type="dxa"/>
              <w:left w:w="150" w:type="dxa"/>
              <w:right w:w="150" w:type="dxa"/>
            </w:tcMar>
          </w:tcPr>
          <w:p>
            <w:pPr>
              <w:jc w:val="center"/>
            </w:pPr>
            <w:r>
              <w:rPr>
                <w:rFonts w:ascii="Arial" w:hAnsi="Arial"/>
                <w:b/>
                <w:color w:val="FFFFFF"/>
                <w:sz w:val="19"/>
              </w:rPr>
              <w:t>Test Recall</w:t>
            </w:r>
          </w:p>
        </w:tc>
        <w:tc>
          <w:tcPr>
            <w:tcW w:type="dxa" w:w="1170"/>
            <w:shd w:fill="1F4E79"/>
            <w:tcMar>
              <w:top w:w="120" w:type="dxa"/>
              <w:bottom w:w="120" w:type="dxa"/>
              <w:left w:w="150" w:type="dxa"/>
              <w:right w:w="150" w:type="dxa"/>
            </w:tcMar>
          </w:tcPr>
          <w:p>
            <w:pPr>
              <w:jc w:val="center"/>
            </w:pPr>
            <w:r>
              <w:rPr>
                <w:rFonts w:ascii="Arial" w:hAnsi="Arial"/>
                <w:b/>
                <w:color w:val="FFFFFF"/>
                <w:sz w:val="19"/>
              </w:rPr>
              <w:t>Test F1-Score</w:t>
            </w:r>
          </w:p>
        </w:tc>
        <w:tc>
          <w:tcPr>
            <w:tcW w:type="dxa" w:w="1170"/>
            <w:shd w:fill="1F4E79"/>
            <w:tcMar>
              <w:top w:w="120" w:type="dxa"/>
              <w:bottom w:w="120" w:type="dxa"/>
              <w:left w:w="150" w:type="dxa"/>
              <w:right w:w="150" w:type="dxa"/>
            </w:tcMar>
          </w:tcPr>
          <w:p>
            <w:pPr>
              <w:jc w:val="center"/>
            </w:pPr>
            <w:r>
              <w:rPr>
                <w:rFonts w:ascii="Arial" w:hAnsi="Arial"/>
                <w:b/>
                <w:color w:val="FFFFFF"/>
                <w:sz w:val="19"/>
              </w:rPr>
              <w:t>Test ROC-AUC</w:t>
            </w:r>
          </w:p>
        </w:tc>
        <w:tc>
          <w:tcPr>
            <w:tcW w:type="dxa" w:w="1170"/>
            <w:shd w:fill="1F4E79"/>
            <w:tcMar>
              <w:top w:w="120" w:type="dxa"/>
              <w:bottom w:w="120" w:type="dxa"/>
              <w:left w:w="150" w:type="dxa"/>
              <w:right w:w="150" w:type="dxa"/>
            </w:tcMar>
          </w:tcPr>
          <w:p>
            <w:pPr>
              <w:jc w:val="center"/>
            </w:pPr>
            <w:r>
              <w:rPr>
                <w:rFonts w:ascii="Arial" w:hAnsi="Arial"/>
                <w:b/>
                <w:color w:val="FFFFFF"/>
                <w:sz w:val="19"/>
              </w:rPr>
              <w:t>Test PR-AUC</w:t>
            </w:r>
          </w:p>
        </w:tc>
      </w:tr>
      <w:tr>
        <w:tc>
          <w:tcPr>
            <w:tcW w:type="dxa" w:w="1170"/>
            <w:shd w:fill="FFFFFF"/>
            <w:tcMar>
              <w:top w:w="90" w:type="dxa"/>
              <w:bottom w:w="90" w:type="dxa"/>
              <w:left w:w="150" w:type="dxa"/>
              <w:right w:w="150" w:type="dxa"/>
            </w:tcMar>
          </w:tcPr>
          <w:p>
            <w:pPr>
              <w:jc w:val="left"/>
            </w:pPr>
            <w:r>
              <w:rPr>
                <w:rFonts w:ascii="Times New Roman" w:hAnsi="Times New Roman"/>
                <w:sz w:val="19"/>
              </w:rPr>
              <w:t>Logistic Regression (Champion)</w:t>
            </w:r>
          </w:p>
        </w:tc>
        <w:tc>
          <w:tcPr>
            <w:tcW w:type="dxa" w:w="1170"/>
            <w:shd w:fill="FFFFFF"/>
            <w:tcMar>
              <w:top w:w="90" w:type="dxa"/>
              <w:bottom w:w="90" w:type="dxa"/>
              <w:left w:w="150" w:type="dxa"/>
              <w:right w:w="150" w:type="dxa"/>
            </w:tcMar>
          </w:tcPr>
          <w:p>
            <w:pPr>
              <w:jc w:val="center"/>
            </w:pPr>
            <w:r>
              <w:rPr>
                <w:rFonts w:ascii="Times New Roman" w:hAnsi="Times New Roman"/>
                <w:sz w:val="19"/>
              </w:rPr>
              <w:t>0.49</w:t>
            </w:r>
          </w:p>
        </w:tc>
        <w:tc>
          <w:tcPr>
            <w:tcW w:type="dxa" w:w="1170"/>
            <w:shd w:fill="FFFFFF"/>
            <w:tcMar>
              <w:top w:w="90" w:type="dxa"/>
              <w:bottom w:w="90" w:type="dxa"/>
              <w:left w:w="150" w:type="dxa"/>
              <w:right w:w="150" w:type="dxa"/>
            </w:tcMar>
          </w:tcPr>
          <w:p>
            <w:pPr>
              <w:jc w:val="center"/>
            </w:pPr>
            <w:r>
              <w:rPr>
                <w:rFonts w:ascii="Times New Roman" w:hAnsi="Times New Roman"/>
                <w:sz w:val="19"/>
              </w:rPr>
              <w:t>0.8500</w:t>
            </w:r>
          </w:p>
        </w:tc>
        <w:tc>
          <w:tcPr>
            <w:tcW w:type="dxa" w:w="1170"/>
            <w:shd w:fill="FFFFFF"/>
            <w:tcMar>
              <w:top w:w="90" w:type="dxa"/>
              <w:bottom w:w="90" w:type="dxa"/>
              <w:left w:w="150" w:type="dxa"/>
              <w:right w:w="150" w:type="dxa"/>
            </w:tcMar>
          </w:tcPr>
          <w:p>
            <w:pPr>
              <w:jc w:val="center"/>
            </w:pPr>
            <w:r>
              <w:rPr>
                <w:rFonts w:ascii="Times New Roman" w:hAnsi="Times New Roman"/>
                <w:sz w:val="19"/>
              </w:rPr>
              <w:t>0.8889</w:t>
            </w:r>
          </w:p>
        </w:tc>
        <w:tc>
          <w:tcPr>
            <w:tcW w:type="dxa" w:w="1170"/>
            <w:shd w:fill="FFFFFF"/>
            <w:tcMar>
              <w:top w:w="90" w:type="dxa"/>
              <w:bottom w:w="90" w:type="dxa"/>
              <w:left w:w="150" w:type="dxa"/>
              <w:right w:w="150" w:type="dxa"/>
            </w:tcMar>
          </w:tcPr>
          <w:p>
            <w:pPr>
              <w:jc w:val="center"/>
            </w:pPr>
            <w:r>
              <w:rPr>
                <w:rFonts w:ascii="Times New Roman" w:hAnsi="Times New Roman"/>
                <w:sz w:val="19"/>
              </w:rPr>
              <w:t>0.5000</w:t>
            </w:r>
          </w:p>
        </w:tc>
        <w:tc>
          <w:tcPr>
            <w:tcW w:type="dxa" w:w="1170"/>
            <w:shd w:fill="FFFFFF"/>
            <w:tcMar>
              <w:top w:w="90" w:type="dxa"/>
              <w:bottom w:w="90" w:type="dxa"/>
              <w:left w:w="150" w:type="dxa"/>
              <w:right w:w="150" w:type="dxa"/>
            </w:tcMar>
          </w:tcPr>
          <w:p>
            <w:pPr>
              <w:jc w:val="center"/>
            </w:pPr>
            <w:r>
              <w:rPr>
                <w:rFonts w:ascii="Times New Roman" w:hAnsi="Times New Roman"/>
                <w:sz w:val="19"/>
              </w:rPr>
              <w:t>0.4000</w:t>
            </w:r>
          </w:p>
        </w:tc>
        <w:tc>
          <w:tcPr>
            <w:tcW w:type="dxa" w:w="1170"/>
            <w:shd w:fill="FFFFFF"/>
            <w:tcMar>
              <w:top w:w="90" w:type="dxa"/>
              <w:bottom w:w="90" w:type="dxa"/>
              <w:left w:w="150" w:type="dxa"/>
              <w:right w:w="150" w:type="dxa"/>
            </w:tcMar>
          </w:tcPr>
          <w:p>
            <w:pPr>
              <w:jc w:val="center"/>
            </w:pPr>
            <w:r>
              <w:rPr>
                <w:rFonts w:ascii="Times New Roman" w:hAnsi="Times New Roman"/>
                <w:sz w:val="19"/>
              </w:rPr>
              <w:t>0.4722</w:t>
            </w:r>
          </w:p>
        </w:tc>
        <w:tc>
          <w:tcPr>
            <w:tcW w:type="dxa" w:w="1170"/>
            <w:shd w:fill="FFFFFF"/>
            <w:tcMar>
              <w:top w:w="90" w:type="dxa"/>
              <w:bottom w:w="90" w:type="dxa"/>
              <w:left w:w="150" w:type="dxa"/>
              <w:right w:w="150" w:type="dxa"/>
            </w:tcMar>
          </w:tcPr>
          <w:p>
            <w:pPr>
              <w:jc w:val="center"/>
            </w:pPr>
            <w:r>
              <w:rPr>
                <w:rFonts w:ascii="Times New Roman" w:hAnsi="Times New Roman"/>
                <w:sz w:val="19"/>
              </w:rPr>
              <w:t>0.2193</w:t>
            </w:r>
          </w:p>
        </w:tc>
      </w:tr>
      <w:tr>
        <w:tc>
          <w:tcPr>
            <w:tcW w:type="dxa" w:w="1170"/>
            <w:shd w:fill="F2F4F7"/>
            <w:tcMar>
              <w:top w:w="90" w:type="dxa"/>
              <w:bottom w:w="90" w:type="dxa"/>
              <w:left w:w="150" w:type="dxa"/>
              <w:right w:w="150" w:type="dxa"/>
            </w:tcMar>
          </w:tcPr>
          <w:p>
            <w:pPr>
              <w:jc w:val="left"/>
            </w:pPr>
            <w:r>
              <w:rPr>
                <w:rFonts w:ascii="Times New Roman" w:hAnsi="Times New Roman"/>
                <w:sz w:val="19"/>
              </w:rPr>
              <w:t>CatBoost</w:t>
            </w:r>
          </w:p>
        </w:tc>
        <w:tc>
          <w:tcPr>
            <w:tcW w:type="dxa" w:w="1170"/>
            <w:shd w:fill="F2F4F7"/>
            <w:tcMar>
              <w:top w:w="90" w:type="dxa"/>
              <w:bottom w:w="90" w:type="dxa"/>
              <w:left w:w="150" w:type="dxa"/>
              <w:right w:w="150" w:type="dxa"/>
            </w:tcMar>
          </w:tcPr>
          <w:p>
            <w:pPr>
              <w:jc w:val="center"/>
            </w:pPr>
            <w:r>
              <w:rPr>
                <w:rFonts w:ascii="Times New Roman" w:hAnsi="Times New Roman"/>
                <w:sz w:val="19"/>
              </w:rPr>
              <w:t>0.44</w:t>
            </w:r>
          </w:p>
        </w:tc>
        <w:tc>
          <w:tcPr>
            <w:tcW w:type="dxa" w:w="1170"/>
            <w:shd w:fill="F2F4F7"/>
            <w:tcMar>
              <w:top w:w="90" w:type="dxa"/>
              <w:bottom w:w="90" w:type="dxa"/>
              <w:left w:w="150" w:type="dxa"/>
              <w:right w:w="150" w:type="dxa"/>
            </w:tcMar>
          </w:tcPr>
          <w:p>
            <w:pPr>
              <w:jc w:val="center"/>
            </w:pPr>
            <w:r>
              <w:rPr>
                <w:rFonts w:ascii="Times New Roman" w:hAnsi="Times New Roman"/>
                <w:sz w:val="19"/>
              </w:rPr>
              <w:t>0.7000</w:t>
            </w:r>
          </w:p>
        </w:tc>
        <w:tc>
          <w:tcPr>
            <w:tcW w:type="dxa" w:w="1170"/>
            <w:shd w:fill="F2F4F7"/>
            <w:tcMar>
              <w:top w:w="90" w:type="dxa"/>
              <w:bottom w:w="90" w:type="dxa"/>
              <w:left w:w="150" w:type="dxa"/>
              <w:right w:w="150" w:type="dxa"/>
            </w:tcMar>
          </w:tcPr>
          <w:p>
            <w:pPr>
              <w:jc w:val="center"/>
            </w:pPr>
            <w:r>
              <w:rPr>
                <w:rFonts w:ascii="Times New Roman" w:hAnsi="Times New Roman"/>
                <w:sz w:val="19"/>
              </w:rPr>
              <w:t>0.7222</w:t>
            </w:r>
          </w:p>
        </w:tc>
        <w:tc>
          <w:tcPr>
            <w:tcW w:type="dxa" w:w="1170"/>
            <w:shd w:fill="F2F4F7"/>
            <w:tcMar>
              <w:top w:w="90" w:type="dxa"/>
              <w:bottom w:w="90" w:type="dxa"/>
              <w:left w:w="150" w:type="dxa"/>
              <w:right w:w="150" w:type="dxa"/>
            </w:tcMar>
          </w:tcPr>
          <w:p>
            <w:pPr>
              <w:jc w:val="center"/>
            </w:pPr>
            <w:r>
              <w:rPr>
                <w:rFonts w:ascii="Times New Roman" w:hAnsi="Times New Roman"/>
                <w:sz w:val="19"/>
              </w:rPr>
              <w:t>0.5000</w:t>
            </w:r>
          </w:p>
        </w:tc>
        <w:tc>
          <w:tcPr>
            <w:tcW w:type="dxa" w:w="1170"/>
            <w:shd w:fill="F2F4F7"/>
            <w:tcMar>
              <w:top w:w="90" w:type="dxa"/>
              <w:bottom w:w="90" w:type="dxa"/>
              <w:left w:w="150" w:type="dxa"/>
              <w:right w:w="150" w:type="dxa"/>
            </w:tcMar>
          </w:tcPr>
          <w:p>
            <w:pPr>
              <w:jc w:val="center"/>
            </w:pPr>
            <w:r>
              <w:rPr>
                <w:rFonts w:ascii="Times New Roman" w:hAnsi="Times New Roman"/>
                <w:sz w:val="19"/>
              </w:rPr>
              <w:t>0.2500</w:t>
            </w:r>
          </w:p>
        </w:tc>
        <w:tc>
          <w:tcPr>
            <w:tcW w:type="dxa" w:w="1170"/>
            <w:shd w:fill="F2F4F7"/>
            <w:tcMar>
              <w:top w:w="90" w:type="dxa"/>
              <w:bottom w:w="90" w:type="dxa"/>
              <w:left w:w="150" w:type="dxa"/>
              <w:right w:w="150" w:type="dxa"/>
            </w:tcMar>
          </w:tcPr>
          <w:p>
            <w:pPr>
              <w:jc w:val="center"/>
            </w:pPr>
            <w:r>
              <w:rPr>
                <w:rFonts w:ascii="Times New Roman" w:hAnsi="Times New Roman"/>
                <w:sz w:val="19"/>
              </w:rPr>
              <w:t>0.4167</w:t>
            </w:r>
          </w:p>
        </w:tc>
        <w:tc>
          <w:tcPr>
            <w:tcW w:type="dxa" w:w="1170"/>
            <w:shd w:fill="F2F4F7"/>
            <w:tcMar>
              <w:top w:w="90" w:type="dxa"/>
              <w:bottom w:w="90" w:type="dxa"/>
              <w:left w:w="150" w:type="dxa"/>
              <w:right w:w="150" w:type="dxa"/>
            </w:tcMar>
          </w:tcPr>
          <w:p>
            <w:pPr>
              <w:jc w:val="center"/>
            </w:pPr>
            <w:r>
              <w:rPr>
                <w:rFonts w:ascii="Times New Roman" w:hAnsi="Times New Roman"/>
                <w:sz w:val="19"/>
              </w:rPr>
              <w:t>0.1526</w:t>
            </w:r>
          </w:p>
        </w:tc>
      </w:tr>
      <w:tr>
        <w:tc>
          <w:tcPr>
            <w:tcW w:type="dxa" w:w="1170"/>
            <w:shd w:fill="FFFFFF"/>
            <w:tcMar>
              <w:top w:w="90" w:type="dxa"/>
              <w:bottom w:w="90" w:type="dxa"/>
              <w:left w:w="150" w:type="dxa"/>
              <w:right w:w="150" w:type="dxa"/>
            </w:tcMar>
          </w:tcPr>
          <w:p>
            <w:pPr>
              <w:jc w:val="left"/>
            </w:pPr>
            <w:r>
              <w:rPr>
                <w:rFonts w:ascii="Times New Roman" w:hAnsi="Times New Roman"/>
                <w:sz w:val="19"/>
              </w:rPr>
              <w:t>LightGBM</w:t>
            </w:r>
          </w:p>
        </w:tc>
        <w:tc>
          <w:tcPr>
            <w:tcW w:type="dxa" w:w="1170"/>
            <w:shd w:fill="FFFFFF"/>
            <w:tcMar>
              <w:top w:w="90" w:type="dxa"/>
              <w:bottom w:w="90" w:type="dxa"/>
              <w:left w:w="150" w:type="dxa"/>
              <w:right w:w="150" w:type="dxa"/>
            </w:tcMar>
          </w:tcPr>
          <w:p>
            <w:pPr>
              <w:jc w:val="center"/>
            </w:pPr>
            <w:r>
              <w:rPr>
                <w:rFonts w:ascii="Times New Roman" w:hAnsi="Times New Roman"/>
                <w:sz w:val="19"/>
              </w:rPr>
              <w:t>0.37</w:t>
            </w:r>
          </w:p>
        </w:tc>
        <w:tc>
          <w:tcPr>
            <w:tcW w:type="dxa" w:w="1170"/>
            <w:shd w:fill="FFFFFF"/>
            <w:tcMar>
              <w:top w:w="90" w:type="dxa"/>
              <w:bottom w:w="90" w:type="dxa"/>
              <w:left w:w="150" w:type="dxa"/>
              <w:right w:w="150" w:type="dxa"/>
            </w:tcMar>
          </w:tcPr>
          <w:p>
            <w:pPr>
              <w:jc w:val="center"/>
            </w:pPr>
            <w:r>
              <w:rPr>
                <w:rFonts w:ascii="Times New Roman" w:hAnsi="Times New Roman"/>
                <w:sz w:val="19"/>
              </w:rPr>
              <w:t>0.6000</w:t>
            </w:r>
          </w:p>
        </w:tc>
        <w:tc>
          <w:tcPr>
            <w:tcW w:type="dxa" w:w="1170"/>
            <w:shd w:fill="FFFFFF"/>
            <w:tcMar>
              <w:top w:w="90" w:type="dxa"/>
              <w:bottom w:w="90" w:type="dxa"/>
              <w:left w:w="150" w:type="dxa"/>
              <w:right w:w="150" w:type="dxa"/>
            </w:tcMar>
          </w:tcPr>
          <w:p>
            <w:pPr>
              <w:jc w:val="center"/>
            </w:pPr>
            <w:r>
              <w:rPr>
                <w:rFonts w:ascii="Times New Roman" w:hAnsi="Times New Roman"/>
                <w:sz w:val="19"/>
              </w:rPr>
              <w:t>0.6111</w:t>
            </w:r>
          </w:p>
        </w:tc>
        <w:tc>
          <w:tcPr>
            <w:tcW w:type="dxa" w:w="1170"/>
            <w:shd w:fill="FFFFFF"/>
            <w:tcMar>
              <w:top w:w="90" w:type="dxa"/>
              <w:bottom w:w="90" w:type="dxa"/>
              <w:left w:w="150" w:type="dxa"/>
              <w:right w:w="150" w:type="dxa"/>
            </w:tcMar>
          </w:tcPr>
          <w:p>
            <w:pPr>
              <w:jc w:val="center"/>
            </w:pPr>
            <w:r>
              <w:rPr>
                <w:rFonts w:ascii="Times New Roman" w:hAnsi="Times New Roman"/>
                <w:sz w:val="19"/>
              </w:rPr>
              <w:t>0.5000</w:t>
            </w:r>
          </w:p>
        </w:tc>
        <w:tc>
          <w:tcPr>
            <w:tcW w:type="dxa" w:w="1170"/>
            <w:shd w:fill="FFFFFF"/>
            <w:tcMar>
              <w:top w:w="90" w:type="dxa"/>
              <w:bottom w:w="90" w:type="dxa"/>
              <w:left w:w="150" w:type="dxa"/>
              <w:right w:w="150" w:type="dxa"/>
            </w:tcMar>
          </w:tcPr>
          <w:p>
            <w:pPr>
              <w:jc w:val="center"/>
            </w:pPr>
            <w:r>
              <w:rPr>
                <w:rFonts w:ascii="Times New Roman" w:hAnsi="Times New Roman"/>
                <w:sz w:val="19"/>
              </w:rPr>
              <w:t>0.2000</w:t>
            </w:r>
          </w:p>
        </w:tc>
        <w:tc>
          <w:tcPr>
            <w:tcW w:type="dxa" w:w="1170"/>
            <w:shd w:fill="FFFFFF"/>
            <w:tcMar>
              <w:top w:w="90" w:type="dxa"/>
              <w:bottom w:w="90" w:type="dxa"/>
              <w:left w:w="150" w:type="dxa"/>
              <w:right w:w="150" w:type="dxa"/>
            </w:tcMar>
          </w:tcPr>
          <w:p>
            <w:pPr>
              <w:jc w:val="center"/>
            </w:pPr>
            <w:r>
              <w:rPr>
                <w:rFonts w:ascii="Times New Roman" w:hAnsi="Times New Roman"/>
                <w:sz w:val="19"/>
              </w:rPr>
              <w:t>0.4167</w:t>
            </w:r>
          </w:p>
        </w:tc>
        <w:tc>
          <w:tcPr>
            <w:tcW w:type="dxa" w:w="1170"/>
            <w:shd w:fill="FFFFFF"/>
            <w:tcMar>
              <w:top w:w="90" w:type="dxa"/>
              <w:bottom w:w="90" w:type="dxa"/>
              <w:left w:w="150" w:type="dxa"/>
              <w:right w:w="150" w:type="dxa"/>
            </w:tcMar>
          </w:tcPr>
          <w:p>
            <w:pPr>
              <w:jc w:val="center"/>
            </w:pPr>
            <w:r>
              <w:rPr>
                <w:rFonts w:ascii="Times New Roman" w:hAnsi="Times New Roman"/>
                <w:sz w:val="19"/>
              </w:rPr>
              <w:t>0.1389</w:t>
            </w:r>
          </w:p>
        </w:tc>
      </w:tr>
      <w:tr>
        <w:tc>
          <w:tcPr>
            <w:tcW w:type="dxa" w:w="1170"/>
            <w:shd w:fill="F2F4F7"/>
            <w:tcMar>
              <w:top w:w="90" w:type="dxa"/>
              <w:bottom w:w="90" w:type="dxa"/>
              <w:left w:w="150" w:type="dxa"/>
              <w:right w:w="150" w:type="dxa"/>
            </w:tcMar>
          </w:tcPr>
          <w:p>
            <w:pPr>
              <w:jc w:val="left"/>
            </w:pPr>
            <w:r>
              <w:rPr>
                <w:rFonts w:ascii="Times New Roman" w:hAnsi="Times New Roman"/>
                <w:sz w:val="19"/>
              </w:rPr>
              <w:t>Stacking Ensemble</w:t>
            </w:r>
          </w:p>
        </w:tc>
        <w:tc>
          <w:tcPr>
            <w:tcW w:type="dxa" w:w="1170"/>
            <w:shd w:fill="F2F4F7"/>
            <w:tcMar>
              <w:top w:w="90" w:type="dxa"/>
              <w:bottom w:w="90" w:type="dxa"/>
              <w:left w:w="150" w:type="dxa"/>
              <w:right w:w="150" w:type="dxa"/>
            </w:tcMar>
          </w:tcPr>
          <w:p>
            <w:pPr>
              <w:jc w:val="center"/>
            </w:pPr>
            <w:r>
              <w:rPr>
                <w:rFonts w:ascii="Times New Roman" w:hAnsi="Times New Roman"/>
                <w:sz w:val="19"/>
              </w:rPr>
              <w:t>0.13</w:t>
            </w:r>
          </w:p>
        </w:tc>
        <w:tc>
          <w:tcPr>
            <w:tcW w:type="dxa" w:w="1170"/>
            <w:shd w:fill="F2F4F7"/>
            <w:tcMar>
              <w:top w:w="90" w:type="dxa"/>
              <w:bottom w:w="90" w:type="dxa"/>
              <w:left w:w="150" w:type="dxa"/>
              <w:right w:w="150" w:type="dxa"/>
            </w:tcMar>
          </w:tcPr>
          <w:p>
            <w:pPr>
              <w:jc w:val="center"/>
            </w:pPr>
            <w:r>
              <w:rPr>
                <w:rFonts w:ascii="Times New Roman" w:hAnsi="Times New Roman"/>
                <w:sz w:val="19"/>
              </w:rPr>
              <w:t>0.8000</w:t>
            </w:r>
          </w:p>
        </w:tc>
        <w:tc>
          <w:tcPr>
            <w:tcW w:type="dxa" w:w="1170"/>
            <w:shd w:fill="F2F4F7"/>
            <w:tcMar>
              <w:top w:w="90" w:type="dxa"/>
              <w:bottom w:w="90" w:type="dxa"/>
              <w:left w:w="150" w:type="dxa"/>
              <w:right w:w="150" w:type="dxa"/>
            </w:tcMar>
          </w:tcPr>
          <w:p>
            <w:pPr>
              <w:jc w:val="center"/>
            </w:pPr>
            <w:r>
              <w:rPr>
                <w:rFonts w:ascii="Times New Roman" w:hAnsi="Times New Roman"/>
                <w:sz w:val="19"/>
              </w:rPr>
              <w:t>0.8889</w:t>
            </w:r>
          </w:p>
        </w:tc>
        <w:tc>
          <w:tcPr>
            <w:tcW w:type="dxa" w:w="1170"/>
            <w:shd w:fill="F2F4F7"/>
            <w:tcMar>
              <w:top w:w="90" w:type="dxa"/>
              <w:bottom w:w="90" w:type="dxa"/>
              <w:left w:w="150" w:type="dxa"/>
              <w:right w:w="150" w:type="dxa"/>
            </w:tcMar>
          </w:tcPr>
          <w:p>
            <w:pPr>
              <w:jc w:val="center"/>
            </w:pPr>
            <w:r>
              <w:rPr>
                <w:rFonts w:ascii="Times New Roman" w:hAnsi="Times New Roman"/>
                <w:sz w:val="19"/>
              </w:rPr>
              <w:t>0.0000</w:t>
            </w:r>
          </w:p>
        </w:tc>
        <w:tc>
          <w:tcPr>
            <w:tcW w:type="dxa" w:w="1170"/>
            <w:shd w:fill="F2F4F7"/>
            <w:tcMar>
              <w:top w:w="90" w:type="dxa"/>
              <w:bottom w:w="90" w:type="dxa"/>
              <w:left w:w="150" w:type="dxa"/>
              <w:right w:w="150" w:type="dxa"/>
            </w:tcMar>
          </w:tcPr>
          <w:p>
            <w:pPr>
              <w:jc w:val="center"/>
            </w:pPr>
            <w:r>
              <w:rPr>
                <w:rFonts w:ascii="Times New Roman" w:hAnsi="Times New Roman"/>
                <w:sz w:val="19"/>
              </w:rPr>
              <w:t>0.0000</w:t>
            </w:r>
          </w:p>
        </w:tc>
        <w:tc>
          <w:tcPr>
            <w:tcW w:type="dxa" w:w="1170"/>
            <w:shd w:fill="F2F4F7"/>
            <w:tcMar>
              <w:top w:w="90" w:type="dxa"/>
              <w:bottom w:w="90" w:type="dxa"/>
              <w:left w:w="150" w:type="dxa"/>
              <w:right w:w="150" w:type="dxa"/>
            </w:tcMar>
          </w:tcPr>
          <w:p>
            <w:pPr>
              <w:jc w:val="center"/>
            </w:pPr>
            <w:r>
              <w:rPr>
                <w:rFonts w:ascii="Times New Roman" w:hAnsi="Times New Roman"/>
                <w:sz w:val="19"/>
              </w:rPr>
              <w:t>0.5000</w:t>
            </w:r>
          </w:p>
        </w:tc>
        <w:tc>
          <w:tcPr>
            <w:tcW w:type="dxa" w:w="1170"/>
            <w:shd w:fill="F2F4F7"/>
            <w:tcMar>
              <w:top w:w="90" w:type="dxa"/>
              <w:bottom w:w="90" w:type="dxa"/>
              <w:left w:w="150" w:type="dxa"/>
              <w:right w:w="150" w:type="dxa"/>
            </w:tcMar>
          </w:tcPr>
          <w:p>
            <w:pPr>
              <w:jc w:val="center"/>
            </w:pPr>
            <w:r>
              <w:rPr>
                <w:rFonts w:ascii="Times New Roman" w:hAnsi="Times New Roman"/>
                <w:sz w:val="19"/>
              </w:rPr>
              <w:t>0.2222</w:t>
            </w:r>
          </w:p>
        </w:tc>
      </w:tr>
      <w:tr>
        <w:tc>
          <w:tcPr>
            <w:tcW w:type="dxa" w:w="1170"/>
            <w:shd w:fill="FFFFFF"/>
            <w:tcMar>
              <w:top w:w="90" w:type="dxa"/>
              <w:bottom w:w="90" w:type="dxa"/>
              <w:left w:w="150" w:type="dxa"/>
              <w:right w:w="150" w:type="dxa"/>
            </w:tcMar>
          </w:tcPr>
          <w:p>
            <w:pPr>
              <w:jc w:val="left"/>
            </w:pPr>
            <w:r>
              <w:rPr>
                <w:rFonts w:ascii="Times New Roman" w:hAnsi="Times New Roman"/>
                <w:sz w:val="19"/>
              </w:rPr>
              <w:t>ExtraTrees Classifier</w:t>
            </w:r>
          </w:p>
        </w:tc>
        <w:tc>
          <w:tcPr>
            <w:tcW w:type="dxa" w:w="1170"/>
            <w:shd w:fill="FFFFFF"/>
            <w:tcMar>
              <w:top w:w="90" w:type="dxa"/>
              <w:bottom w:w="90" w:type="dxa"/>
              <w:left w:w="150" w:type="dxa"/>
              <w:right w:w="150" w:type="dxa"/>
            </w:tcMar>
          </w:tcPr>
          <w:p>
            <w:pPr>
              <w:jc w:val="center"/>
            </w:pPr>
            <w:r>
              <w:rPr>
                <w:rFonts w:ascii="Times New Roman" w:hAnsi="Times New Roman"/>
                <w:sz w:val="19"/>
              </w:rPr>
              <w:t>0.45</w:t>
            </w:r>
          </w:p>
        </w:tc>
        <w:tc>
          <w:tcPr>
            <w:tcW w:type="dxa" w:w="1170"/>
            <w:shd w:fill="FFFFFF"/>
            <w:tcMar>
              <w:top w:w="90" w:type="dxa"/>
              <w:bottom w:w="90" w:type="dxa"/>
              <w:left w:w="150" w:type="dxa"/>
              <w:right w:w="150" w:type="dxa"/>
            </w:tcMar>
          </w:tcPr>
          <w:p>
            <w:pPr>
              <w:jc w:val="center"/>
            </w:pPr>
            <w:r>
              <w:rPr>
                <w:rFonts w:ascii="Times New Roman" w:hAnsi="Times New Roman"/>
                <w:sz w:val="19"/>
              </w:rPr>
              <w:t>0.7000</w:t>
            </w:r>
          </w:p>
        </w:tc>
        <w:tc>
          <w:tcPr>
            <w:tcW w:type="dxa" w:w="1170"/>
            <w:shd w:fill="FFFFFF"/>
            <w:tcMar>
              <w:top w:w="90" w:type="dxa"/>
              <w:bottom w:w="90" w:type="dxa"/>
              <w:left w:w="150" w:type="dxa"/>
              <w:right w:w="150" w:type="dxa"/>
            </w:tcMar>
          </w:tcPr>
          <w:p>
            <w:pPr>
              <w:jc w:val="center"/>
            </w:pPr>
            <w:r>
              <w:rPr>
                <w:rFonts w:ascii="Times New Roman" w:hAnsi="Times New Roman"/>
                <w:sz w:val="19"/>
              </w:rPr>
              <w:t>0.7778</w:t>
            </w:r>
          </w:p>
        </w:tc>
        <w:tc>
          <w:tcPr>
            <w:tcW w:type="dxa" w:w="1170"/>
            <w:shd w:fill="FFFFFF"/>
            <w:tcMar>
              <w:top w:w="90" w:type="dxa"/>
              <w:bottom w:w="90" w:type="dxa"/>
              <w:left w:w="150" w:type="dxa"/>
              <w:right w:w="150" w:type="dxa"/>
            </w:tcMar>
          </w:tcPr>
          <w:p>
            <w:pPr>
              <w:jc w:val="center"/>
            </w:pPr>
            <w:r>
              <w:rPr>
                <w:rFonts w:ascii="Times New Roman" w:hAnsi="Times New Roman"/>
                <w:sz w:val="19"/>
              </w:rPr>
              <w:t>0.0000</w:t>
            </w:r>
          </w:p>
        </w:tc>
        <w:tc>
          <w:tcPr>
            <w:tcW w:type="dxa" w:w="1170"/>
            <w:shd w:fill="FFFFFF"/>
            <w:tcMar>
              <w:top w:w="90" w:type="dxa"/>
              <w:bottom w:w="90" w:type="dxa"/>
              <w:left w:w="150" w:type="dxa"/>
              <w:right w:w="150" w:type="dxa"/>
            </w:tcMar>
          </w:tcPr>
          <w:p>
            <w:pPr>
              <w:jc w:val="center"/>
            </w:pPr>
            <w:r>
              <w:rPr>
                <w:rFonts w:ascii="Times New Roman" w:hAnsi="Times New Roman"/>
                <w:sz w:val="19"/>
              </w:rPr>
              <w:t>0.0000</w:t>
            </w:r>
          </w:p>
        </w:tc>
        <w:tc>
          <w:tcPr>
            <w:tcW w:type="dxa" w:w="1170"/>
            <w:shd w:fill="FFFFFF"/>
            <w:tcMar>
              <w:top w:w="90" w:type="dxa"/>
              <w:bottom w:w="90" w:type="dxa"/>
              <w:left w:w="150" w:type="dxa"/>
              <w:right w:w="150" w:type="dxa"/>
            </w:tcMar>
          </w:tcPr>
          <w:p>
            <w:pPr>
              <w:jc w:val="center"/>
            </w:pPr>
            <w:r>
              <w:rPr>
                <w:rFonts w:ascii="Times New Roman" w:hAnsi="Times New Roman"/>
                <w:sz w:val="19"/>
              </w:rPr>
              <w:t>0.4444</w:t>
            </w:r>
          </w:p>
        </w:tc>
        <w:tc>
          <w:tcPr>
            <w:tcW w:type="dxa" w:w="1170"/>
            <w:shd w:fill="FFFFFF"/>
            <w:tcMar>
              <w:top w:w="90" w:type="dxa"/>
              <w:bottom w:w="90" w:type="dxa"/>
              <w:left w:w="150" w:type="dxa"/>
              <w:right w:w="150" w:type="dxa"/>
            </w:tcMar>
          </w:tcPr>
          <w:p>
            <w:pPr>
              <w:jc w:val="center"/>
            </w:pPr>
            <w:r>
              <w:rPr>
                <w:rFonts w:ascii="Times New Roman" w:hAnsi="Times New Roman"/>
                <w:sz w:val="19"/>
              </w:rPr>
              <w:t>0.1292</w:t>
            </w:r>
          </w:p>
        </w:tc>
      </w:tr>
      <w:tr>
        <w:tc>
          <w:tcPr>
            <w:tcW w:type="dxa" w:w="1170"/>
            <w:shd w:fill="F2F4F7"/>
            <w:tcMar>
              <w:top w:w="90" w:type="dxa"/>
              <w:bottom w:w="90" w:type="dxa"/>
              <w:left w:w="150" w:type="dxa"/>
              <w:right w:w="150" w:type="dxa"/>
            </w:tcMar>
          </w:tcPr>
          <w:p>
            <w:pPr>
              <w:jc w:val="left"/>
            </w:pPr>
            <w:r>
              <w:rPr>
                <w:rFonts w:ascii="Times New Roman" w:hAnsi="Times New Roman"/>
                <w:sz w:val="19"/>
              </w:rPr>
              <w:t>Balanced Random Forest</w:t>
            </w:r>
          </w:p>
        </w:tc>
        <w:tc>
          <w:tcPr>
            <w:tcW w:type="dxa" w:w="1170"/>
            <w:shd w:fill="F2F4F7"/>
            <w:tcMar>
              <w:top w:w="90" w:type="dxa"/>
              <w:bottom w:w="90" w:type="dxa"/>
              <w:left w:w="150" w:type="dxa"/>
              <w:right w:w="150" w:type="dxa"/>
            </w:tcMar>
          </w:tcPr>
          <w:p>
            <w:pPr>
              <w:jc w:val="center"/>
            </w:pPr>
            <w:r>
              <w:rPr>
                <w:rFonts w:ascii="Times New Roman" w:hAnsi="Times New Roman"/>
                <w:sz w:val="19"/>
              </w:rPr>
              <w:t>0.54</w:t>
            </w:r>
          </w:p>
        </w:tc>
        <w:tc>
          <w:tcPr>
            <w:tcW w:type="dxa" w:w="1170"/>
            <w:shd w:fill="F2F4F7"/>
            <w:tcMar>
              <w:top w:w="90" w:type="dxa"/>
              <w:bottom w:w="90" w:type="dxa"/>
              <w:left w:w="150" w:type="dxa"/>
              <w:right w:w="150" w:type="dxa"/>
            </w:tcMar>
          </w:tcPr>
          <w:p>
            <w:pPr>
              <w:jc w:val="center"/>
            </w:pPr>
            <w:r>
              <w:rPr>
                <w:rFonts w:ascii="Times New Roman" w:hAnsi="Times New Roman"/>
                <w:sz w:val="19"/>
              </w:rPr>
              <w:t>0.7000</w:t>
            </w:r>
          </w:p>
        </w:tc>
        <w:tc>
          <w:tcPr>
            <w:tcW w:type="dxa" w:w="1170"/>
            <w:shd w:fill="F2F4F7"/>
            <w:tcMar>
              <w:top w:w="90" w:type="dxa"/>
              <w:bottom w:w="90" w:type="dxa"/>
              <w:left w:w="150" w:type="dxa"/>
              <w:right w:w="150" w:type="dxa"/>
            </w:tcMar>
          </w:tcPr>
          <w:p>
            <w:pPr>
              <w:jc w:val="center"/>
            </w:pPr>
            <w:r>
              <w:rPr>
                <w:rFonts w:ascii="Times New Roman" w:hAnsi="Times New Roman"/>
                <w:sz w:val="19"/>
              </w:rPr>
              <w:t>0.7778</w:t>
            </w:r>
          </w:p>
        </w:tc>
        <w:tc>
          <w:tcPr>
            <w:tcW w:type="dxa" w:w="1170"/>
            <w:shd w:fill="F2F4F7"/>
            <w:tcMar>
              <w:top w:w="90" w:type="dxa"/>
              <w:bottom w:w="90" w:type="dxa"/>
              <w:left w:w="150" w:type="dxa"/>
              <w:right w:w="150" w:type="dxa"/>
            </w:tcMar>
          </w:tcPr>
          <w:p>
            <w:pPr>
              <w:jc w:val="center"/>
            </w:pPr>
            <w:r>
              <w:rPr>
                <w:rFonts w:ascii="Times New Roman" w:hAnsi="Times New Roman"/>
                <w:sz w:val="19"/>
              </w:rPr>
              <w:t>0.0000</w:t>
            </w:r>
          </w:p>
        </w:tc>
        <w:tc>
          <w:tcPr>
            <w:tcW w:type="dxa" w:w="1170"/>
            <w:shd w:fill="F2F4F7"/>
            <w:tcMar>
              <w:top w:w="90" w:type="dxa"/>
              <w:bottom w:w="90" w:type="dxa"/>
              <w:left w:w="150" w:type="dxa"/>
              <w:right w:w="150" w:type="dxa"/>
            </w:tcMar>
          </w:tcPr>
          <w:p>
            <w:pPr>
              <w:jc w:val="center"/>
            </w:pPr>
            <w:r>
              <w:rPr>
                <w:rFonts w:ascii="Times New Roman" w:hAnsi="Times New Roman"/>
                <w:sz w:val="19"/>
              </w:rPr>
              <w:t>0.0000</w:t>
            </w:r>
          </w:p>
        </w:tc>
        <w:tc>
          <w:tcPr>
            <w:tcW w:type="dxa" w:w="1170"/>
            <w:shd w:fill="F2F4F7"/>
            <w:tcMar>
              <w:top w:w="90" w:type="dxa"/>
              <w:bottom w:w="90" w:type="dxa"/>
              <w:left w:w="150" w:type="dxa"/>
              <w:right w:w="150" w:type="dxa"/>
            </w:tcMar>
          </w:tcPr>
          <w:p>
            <w:pPr>
              <w:jc w:val="center"/>
            </w:pPr>
            <w:r>
              <w:rPr>
                <w:rFonts w:ascii="Times New Roman" w:hAnsi="Times New Roman"/>
                <w:sz w:val="19"/>
              </w:rPr>
              <w:t>0.4167</w:t>
            </w:r>
          </w:p>
        </w:tc>
        <w:tc>
          <w:tcPr>
            <w:tcW w:type="dxa" w:w="1170"/>
            <w:shd w:fill="F2F4F7"/>
            <w:tcMar>
              <w:top w:w="90" w:type="dxa"/>
              <w:bottom w:w="90" w:type="dxa"/>
              <w:left w:w="150" w:type="dxa"/>
              <w:right w:w="150" w:type="dxa"/>
            </w:tcMar>
          </w:tcPr>
          <w:p>
            <w:pPr>
              <w:jc w:val="center"/>
            </w:pPr>
            <w:r>
              <w:rPr>
                <w:rFonts w:ascii="Times New Roman" w:hAnsi="Times New Roman"/>
                <w:sz w:val="19"/>
              </w:rPr>
              <w:t>0.1389</w:t>
            </w:r>
          </w:p>
        </w:tc>
      </w:tr>
      <w:tr>
        <w:tc>
          <w:tcPr>
            <w:tcW w:type="dxa" w:w="1170"/>
            <w:shd w:fill="FFFFFF"/>
            <w:tcMar>
              <w:top w:w="90" w:type="dxa"/>
              <w:bottom w:w="90" w:type="dxa"/>
              <w:left w:w="150" w:type="dxa"/>
              <w:right w:w="150" w:type="dxa"/>
            </w:tcMar>
          </w:tcPr>
          <w:p>
            <w:pPr>
              <w:jc w:val="left"/>
            </w:pPr>
            <w:r>
              <w:rPr>
                <w:rFonts w:ascii="Times New Roman" w:hAnsi="Times New Roman"/>
                <w:sz w:val="19"/>
              </w:rPr>
              <w:t>Voting Ensemble</w:t>
            </w:r>
          </w:p>
        </w:tc>
        <w:tc>
          <w:tcPr>
            <w:tcW w:type="dxa" w:w="1170"/>
            <w:shd w:fill="FFFFFF"/>
            <w:tcMar>
              <w:top w:w="90" w:type="dxa"/>
              <w:bottom w:w="90" w:type="dxa"/>
              <w:left w:w="150" w:type="dxa"/>
              <w:right w:w="150" w:type="dxa"/>
            </w:tcMar>
          </w:tcPr>
          <w:p>
            <w:pPr>
              <w:jc w:val="center"/>
            </w:pPr>
            <w:r>
              <w:rPr>
                <w:rFonts w:ascii="Times New Roman" w:hAnsi="Times New Roman"/>
                <w:sz w:val="19"/>
              </w:rPr>
              <w:t>0.41</w:t>
            </w:r>
          </w:p>
        </w:tc>
        <w:tc>
          <w:tcPr>
            <w:tcW w:type="dxa" w:w="1170"/>
            <w:shd w:fill="FFFFFF"/>
            <w:tcMar>
              <w:top w:w="90" w:type="dxa"/>
              <w:bottom w:w="90" w:type="dxa"/>
              <w:left w:w="150" w:type="dxa"/>
              <w:right w:w="150" w:type="dxa"/>
            </w:tcMar>
          </w:tcPr>
          <w:p>
            <w:pPr>
              <w:jc w:val="center"/>
            </w:pPr>
            <w:r>
              <w:rPr>
                <w:rFonts w:ascii="Times New Roman" w:hAnsi="Times New Roman"/>
                <w:sz w:val="19"/>
              </w:rPr>
              <w:t>0.6500</w:t>
            </w:r>
          </w:p>
        </w:tc>
        <w:tc>
          <w:tcPr>
            <w:tcW w:type="dxa" w:w="1170"/>
            <w:shd w:fill="FFFFFF"/>
            <w:tcMar>
              <w:top w:w="90" w:type="dxa"/>
              <w:bottom w:w="90" w:type="dxa"/>
              <w:left w:w="150" w:type="dxa"/>
              <w:right w:w="150" w:type="dxa"/>
            </w:tcMar>
          </w:tcPr>
          <w:p>
            <w:pPr>
              <w:jc w:val="center"/>
            </w:pPr>
            <w:r>
              <w:rPr>
                <w:rFonts w:ascii="Times New Roman" w:hAnsi="Times New Roman"/>
                <w:sz w:val="19"/>
              </w:rPr>
              <w:t>0.7222</w:t>
            </w:r>
          </w:p>
        </w:tc>
        <w:tc>
          <w:tcPr>
            <w:tcW w:type="dxa" w:w="1170"/>
            <w:shd w:fill="FFFFFF"/>
            <w:tcMar>
              <w:top w:w="90" w:type="dxa"/>
              <w:bottom w:w="90" w:type="dxa"/>
              <w:left w:w="150" w:type="dxa"/>
              <w:right w:w="150" w:type="dxa"/>
            </w:tcMar>
          </w:tcPr>
          <w:p>
            <w:pPr>
              <w:jc w:val="center"/>
            </w:pPr>
            <w:r>
              <w:rPr>
                <w:rFonts w:ascii="Times New Roman" w:hAnsi="Times New Roman"/>
                <w:sz w:val="19"/>
              </w:rPr>
              <w:t>0.0000</w:t>
            </w:r>
          </w:p>
        </w:tc>
        <w:tc>
          <w:tcPr>
            <w:tcW w:type="dxa" w:w="1170"/>
            <w:shd w:fill="FFFFFF"/>
            <w:tcMar>
              <w:top w:w="90" w:type="dxa"/>
              <w:bottom w:w="90" w:type="dxa"/>
              <w:left w:w="150" w:type="dxa"/>
              <w:right w:w="150" w:type="dxa"/>
            </w:tcMar>
          </w:tcPr>
          <w:p>
            <w:pPr>
              <w:jc w:val="center"/>
            </w:pPr>
            <w:r>
              <w:rPr>
                <w:rFonts w:ascii="Times New Roman" w:hAnsi="Times New Roman"/>
                <w:sz w:val="19"/>
              </w:rPr>
              <w:t>0.0000</w:t>
            </w:r>
          </w:p>
        </w:tc>
        <w:tc>
          <w:tcPr>
            <w:tcW w:type="dxa" w:w="1170"/>
            <w:shd w:fill="FFFFFF"/>
            <w:tcMar>
              <w:top w:w="90" w:type="dxa"/>
              <w:bottom w:w="90" w:type="dxa"/>
              <w:left w:w="150" w:type="dxa"/>
              <w:right w:w="150" w:type="dxa"/>
            </w:tcMar>
          </w:tcPr>
          <w:p>
            <w:pPr>
              <w:jc w:val="center"/>
            </w:pPr>
            <w:r>
              <w:rPr>
                <w:rFonts w:ascii="Times New Roman" w:hAnsi="Times New Roman"/>
                <w:sz w:val="19"/>
              </w:rPr>
              <w:t>0.4167</w:t>
            </w:r>
          </w:p>
        </w:tc>
        <w:tc>
          <w:tcPr>
            <w:tcW w:type="dxa" w:w="1170"/>
            <w:shd w:fill="FFFFFF"/>
            <w:tcMar>
              <w:top w:w="90" w:type="dxa"/>
              <w:bottom w:w="90" w:type="dxa"/>
              <w:left w:w="150" w:type="dxa"/>
              <w:right w:w="150" w:type="dxa"/>
            </w:tcMar>
          </w:tcPr>
          <w:p>
            <w:pPr>
              <w:jc w:val="center"/>
            </w:pPr>
            <w:r>
              <w:rPr>
                <w:rFonts w:ascii="Times New Roman" w:hAnsi="Times New Roman"/>
                <w:sz w:val="19"/>
              </w:rPr>
              <w:t>0.1389</w:t>
            </w:r>
          </w:p>
        </w:tc>
      </w:tr>
      <w:tr>
        <w:tc>
          <w:tcPr>
            <w:tcW w:type="dxa" w:w="1170"/>
            <w:shd w:fill="F2F4F7"/>
            <w:tcMar>
              <w:top w:w="90" w:type="dxa"/>
              <w:bottom w:w="90" w:type="dxa"/>
              <w:left w:w="150" w:type="dxa"/>
              <w:right w:w="150" w:type="dxa"/>
            </w:tcMar>
          </w:tcPr>
          <w:p>
            <w:pPr>
              <w:jc w:val="left"/>
            </w:pPr>
            <w:r>
              <w:rPr>
                <w:rFonts w:ascii="Times New Roman" w:hAnsi="Times New Roman"/>
                <w:sz w:val="19"/>
              </w:rPr>
              <w:t>Random Forest</w:t>
            </w:r>
          </w:p>
        </w:tc>
        <w:tc>
          <w:tcPr>
            <w:tcW w:type="dxa" w:w="1170"/>
            <w:shd w:fill="F2F4F7"/>
            <w:tcMar>
              <w:top w:w="90" w:type="dxa"/>
              <w:bottom w:w="90" w:type="dxa"/>
              <w:left w:w="150" w:type="dxa"/>
              <w:right w:w="150" w:type="dxa"/>
            </w:tcMar>
          </w:tcPr>
          <w:p>
            <w:pPr>
              <w:jc w:val="center"/>
            </w:pPr>
            <w:r>
              <w:rPr>
                <w:rFonts w:ascii="Times New Roman" w:hAnsi="Times New Roman"/>
                <w:sz w:val="19"/>
              </w:rPr>
              <w:t>0.29</w:t>
            </w:r>
          </w:p>
        </w:tc>
        <w:tc>
          <w:tcPr>
            <w:tcW w:type="dxa" w:w="1170"/>
            <w:shd w:fill="F2F4F7"/>
            <w:tcMar>
              <w:top w:w="90" w:type="dxa"/>
              <w:bottom w:w="90" w:type="dxa"/>
              <w:left w:w="150" w:type="dxa"/>
              <w:right w:w="150" w:type="dxa"/>
            </w:tcMar>
          </w:tcPr>
          <w:p>
            <w:pPr>
              <w:jc w:val="center"/>
            </w:pPr>
            <w:r>
              <w:rPr>
                <w:rFonts w:ascii="Times New Roman" w:hAnsi="Times New Roman"/>
                <w:sz w:val="19"/>
              </w:rPr>
              <w:t>0.6000</w:t>
            </w:r>
          </w:p>
        </w:tc>
        <w:tc>
          <w:tcPr>
            <w:tcW w:type="dxa" w:w="1170"/>
            <w:shd w:fill="F2F4F7"/>
            <w:tcMar>
              <w:top w:w="90" w:type="dxa"/>
              <w:bottom w:w="90" w:type="dxa"/>
              <w:left w:w="150" w:type="dxa"/>
              <w:right w:w="150" w:type="dxa"/>
            </w:tcMar>
          </w:tcPr>
          <w:p>
            <w:pPr>
              <w:jc w:val="center"/>
            </w:pPr>
            <w:r>
              <w:rPr>
                <w:rFonts w:ascii="Times New Roman" w:hAnsi="Times New Roman"/>
                <w:sz w:val="19"/>
              </w:rPr>
              <w:t>0.6667</w:t>
            </w:r>
          </w:p>
        </w:tc>
        <w:tc>
          <w:tcPr>
            <w:tcW w:type="dxa" w:w="1170"/>
            <w:shd w:fill="F2F4F7"/>
            <w:tcMar>
              <w:top w:w="90" w:type="dxa"/>
              <w:bottom w:w="90" w:type="dxa"/>
              <w:left w:w="150" w:type="dxa"/>
              <w:right w:w="150" w:type="dxa"/>
            </w:tcMar>
          </w:tcPr>
          <w:p>
            <w:pPr>
              <w:jc w:val="center"/>
            </w:pPr>
            <w:r>
              <w:rPr>
                <w:rFonts w:ascii="Times New Roman" w:hAnsi="Times New Roman"/>
                <w:sz w:val="19"/>
              </w:rPr>
              <w:t>0.0000</w:t>
            </w:r>
          </w:p>
        </w:tc>
        <w:tc>
          <w:tcPr>
            <w:tcW w:type="dxa" w:w="1170"/>
            <w:shd w:fill="F2F4F7"/>
            <w:tcMar>
              <w:top w:w="90" w:type="dxa"/>
              <w:bottom w:w="90" w:type="dxa"/>
              <w:left w:w="150" w:type="dxa"/>
              <w:right w:w="150" w:type="dxa"/>
            </w:tcMar>
          </w:tcPr>
          <w:p>
            <w:pPr>
              <w:jc w:val="center"/>
            </w:pPr>
            <w:r>
              <w:rPr>
                <w:rFonts w:ascii="Times New Roman" w:hAnsi="Times New Roman"/>
                <w:sz w:val="19"/>
              </w:rPr>
              <w:t>0.0000</w:t>
            </w:r>
          </w:p>
        </w:tc>
        <w:tc>
          <w:tcPr>
            <w:tcW w:type="dxa" w:w="1170"/>
            <w:shd w:fill="F2F4F7"/>
            <w:tcMar>
              <w:top w:w="90" w:type="dxa"/>
              <w:bottom w:w="90" w:type="dxa"/>
              <w:left w:w="150" w:type="dxa"/>
              <w:right w:w="150" w:type="dxa"/>
            </w:tcMar>
          </w:tcPr>
          <w:p>
            <w:pPr>
              <w:jc w:val="center"/>
            </w:pPr>
            <w:r>
              <w:rPr>
                <w:rFonts w:ascii="Times New Roman" w:hAnsi="Times New Roman"/>
                <w:sz w:val="19"/>
              </w:rPr>
              <w:t>0.3889</w:t>
            </w:r>
          </w:p>
        </w:tc>
        <w:tc>
          <w:tcPr>
            <w:tcW w:type="dxa" w:w="1170"/>
            <w:shd w:fill="F2F4F7"/>
            <w:tcMar>
              <w:top w:w="90" w:type="dxa"/>
              <w:bottom w:w="90" w:type="dxa"/>
              <w:left w:w="150" w:type="dxa"/>
              <w:right w:w="150" w:type="dxa"/>
            </w:tcMar>
          </w:tcPr>
          <w:p>
            <w:pPr>
              <w:jc w:val="center"/>
            </w:pPr>
            <w:r>
              <w:rPr>
                <w:rFonts w:ascii="Times New Roman" w:hAnsi="Times New Roman"/>
                <w:sz w:val="19"/>
              </w:rPr>
              <w:t>0.1270</w:t>
            </w:r>
          </w:p>
        </w:tc>
      </w:tr>
      <w:tr>
        <w:tc>
          <w:tcPr>
            <w:tcW w:type="dxa" w:w="1170"/>
            <w:shd w:fill="FFFFFF"/>
            <w:tcMar>
              <w:top w:w="90" w:type="dxa"/>
              <w:bottom w:w="90" w:type="dxa"/>
              <w:left w:w="150" w:type="dxa"/>
              <w:right w:w="150" w:type="dxa"/>
            </w:tcMar>
          </w:tcPr>
          <w:p>
            <w:pPr>
              <w:jc w:val="left"/>
            </w:pPr>
            <w:r>
              <w:rPr>
                <w:rFonts w:ascii="Times New Roman" w:hAnsi="Times New Roman"/>
                <w:sz w:val="19"/>
              </w:rPr>
              <w:t>XGBoost</w:t>
            </w:r>
          </w:p>
        </w:tc>
        <w:tc>
          <w:tcPr>
            <w:tcW w:type="dxa" w:w="1170"/>
            <w:shd w:fill="FFFFFF"/>
            <w:tcMar>
              <w:top w:w="90" w:type="dxa"/>
              <w:bottom w:w="90" w:type="dxa"/>
              <w:left w:w="150" w:type="dxa"/>
              <w:right w:w="150" w:type="dxa"/>
            </w:tcMar>
          </w:tcPr>
          <w:p>
            <w:pPr>
              <w:jc w:val="center"/>
            </w:pPr>
            <w:r>
              <w:rPr>
                <w:rFonts w:ascii="Times New Roman" w:hAnsi="Times New Roman"/>
                <w:sz w:val="19"/>
              </w:rPr>
              <w:t>0.25</w:t>
            </w:r>
          </w:p>
        </w:tc>
        <w:tc>
          <w:tcPr>
            <w:tcW w:type="dxa" w:w="1170"/>
            <w:shd w:fill="FFFFFF"/>
            <w:tcMar>
              <w:top w:w="90" w:type="dxa"/>
              <w:bottom w:w="90" w:type="dxa"/>
              <w:left w:w="150" w:type="dxa"/>
              <w:right w:w="150" w:type="dxa"/>
            </w:tcMar>
          </w:tcPr>
          <w:p>
            <w:pPr>
              <w:jc w:val="center"/>
            </w:pPr>
            <w:r>
              <w:rPr>
                <w:rFonts w:ascii="Times New Roman" w:hAnsi="Times New Roman"/>
                <w:sz w:val="19"/>
              </w:rPr>
              <w:t>0.5500</w:t>
            </w:r>
          </w:p>
        </w:tc>
        <w:tc>
          <w:tcPr>
            <w:tcW w:type="dxa" w:w="1170"/>
            <w:shd w:fill="FFFFFF"/>
            <w:tcMar>
              <w:top w:w="90" w:type="dxa"/>
              <w:bottom w:w="90" w:type="dxa"/>
              <w:left w:w="150" w:type="dxa"/>
              <w:right w:w="150" w:type="dxa"/>
            </w:tcMar>
          </w:tcPr>
          <w:p>
            <w:pPr>
              <w:jc w:val="center"/>
            </w:pPr>
            <w:r>
              <w:rPr>
                <w:rFonts w:ascii="Times New Roman" w:hAnsi="Times New Roman"/>
                <w:sz w:val="19"/>
              </w:rPr>
              <w:t>0.6111</w:t>
            </w:r>
          </w:p>
        </w:tc>
        <w:tc>
          <w:tcPr>
            <w:tcW w:type="dxa" w:w="1170"/>
            <w:shd w:fill="FFFFFF"/>
            <w:tcMar>
              <w:top w:w="90" w:type="dxa"/>
              <w:bottom w:w="90" w:type="dxa"/>
              <w:left w:w="150" w:type="dxa"/>
              <w:right w:w="150" w:type="dxa"/>
            </w:tcMar>
          </w:tcPr>
          <w:p>
            <w:pPr>
              <w:jc w:val="center"/>
            </w:pPr>
            <w:r>
              <w:rPr>
                <w:rFonts w:ascii="Times New Roman" w:hAnsi="Times New Roman"/>
                <w:sz w:val="19"/>
              </w:rPr>
              <w:t>0.0000</w:t>
            </w:r>
          </w:p>
        </w:tc>
        <w:tc>
          <w:tcPr>
            <w:tcW w:type="dxa" w:w="1170"/>
            <w:shd w:fill="FFFFFF"/>
            <w:tcMar>
              <w:top w:w="90" w:type="dxa"/>
              <w:bottom w:w="90" w:type="dxa"/>
              <w:left w:w="150" w:type="dxa"/>
              <w:right w:w="150" w:type="dxa"/>
            </w:tcMar>
          </w:tcPr>
          <w:p>
            <w:pPr>
              <w:jc w:val="center"/>
            </w:pPr>
            <w:r>
              <w:rPr>
                <w:rFonts w:ascii="Times New Roman" w:hAnsi="Times New Roman"/>
                <w:sz w:val="19"/>
              </w:rPr>
              <w:t>0.0000</w:t>
            </w:r>
          </w:p>
        </w:tc>
        <w:tc>
          <w:tcPr>
            <w:tcW w:type="dxa" w:w="1170"/>
            <w:shd w:fill="FFFFFF"/>
            <w:tcMar>
              <w:top w:w="90" w:type="dxa"/>
              <w:bottom w:w="90" w:type="dxa"/>
              <w:left w:w="150" w:type="dxa"/>
              <w:right w:w="150" w:type="dxa"/>
            </w:tcMar>
          </w:tcPr>
          <w:p>
            <w:pPr>
              <w:jc w:val="center"/>
            </w:pPr>
            <w:r>
              <w:rPr>
                <w:rFonts w:ascii="Times New Roman" w:hAnsi="Times New Roman"/>
                <w:sz w:val="19"/>
              </w:rPr>
              <w:t>0.2222</w:t>
            </w:r>
          </w:p>
        </w:tc>
        <w:tc>
          <w:tcPr>
            <w:tcW w:type="dxa" w:w="1170"/>
            <w:shd w:fill="FFFFFF"/>
            <w:tcMar>
              <w:top w:w="90" w:type="dxa"/>
              <w:bottom w:w="90" w:type="dxa"/>
              <w:left w:w="150" w:type="dxa"/>
              <w:right w:w="150" w:type="dxa"/>
            </w:tcMar>
          </w:tcPr>
          <w:p>
            <w:pPr>
              <w:jc w:val="center"/>
            </w:pPr>
            <w:r>
              <w:rPr>
                <w:rFonts w:ascii="Times New Roman" w:hAnsi="Times New Roman"/>
                <w:sz w:val="19"/>
              </w:rPr>
              <w:t>0.0940</w:t>
            </w:r>
          </w:p>
        </w:tc>
      </w:tr>
    </w:tbl>
    <w:p>
      <w:pPr>
        <w:spacing w:after="120"/>
      </w:pPr>
    </w:p>
    <w:p>
      <w:pPr>
        <w:spacing w:before="240" w:after="80"/>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model_performance_ranking.png"/>
                    <pic:cNvPicPr/>
                  </pic:nvPicPr>
                  <pic:blipFill>
                    <a:blip r:embed="rId12"/>
                    <a:stretch>
                      <a:fillRect/>
                    </a:stretch>
                  </pic:blipFill>
                  <pic:spPr>
                    <a:xfrm>
                      <a:off x="0" y="0"/>
                      <a:ext cx="5486400" cy="3657600"/>
                    </a:xfrm>
                    <a:prstGeom prst="rect"/>
                  </pic:spPr>
                </pic:pic>
              </a:graphicData>
            </a:graphic>
          </wp:inline>
        </w:drawing>
      </w:r>
    </w:p>
    <w:p>
      <w:pPr>
        <w:spacing w:after="240"/>
        <w:jc w:val="center"/>
      </w:pPr>
      <w:r>
        <w:rPr>
          <w:rFonts w:ascii="Arial" w:hAnsi="Arial"/>
          <w:b/>
          <w:i/>
          <w:sz w:val="18"/>
        </w:rPr>
        <w:t>Fig. 4. Model Composite Ranking Scores (ROC-AUC + PR-AUC + Recall) benchmarking candidate pipelines.</w:t>
      </w:r>
    </w:p>
    <w:p>
      <w:pPr>
        <w:spacing w:before="240" w:after="80"/>
        <w:jc w:val="center"/>
      </w:pPr>
      <w:r>
        <w:drawing>
          <wp:inline xmlns:a="http://schemas.openxmlformats.org/drawingml/2006/main" xmlns:pic="http://schemas.openxmlformats.org/drawingml/2006/picture">
            <wp:extent cx="4754880" cy="3962400"/>
            <wp:docPr id="5" name="Picture 5"/>
            <wp:cNvGraphicFramePr>
              <a:graphicFrameLocks noChangeAspect="1"/>
            </wp:cNvGraphicFramePr>
            <a:graphic>
              <a:graphicData uri="http://schemas.openxmlformats.org/drawingml/2006/picture">
                <pic:pic>
                  <pic:nvPicPr>
                    <pic:cNvPr id="0" name="logistic_regression_roc_curve.png"/>
                    <pic:cNvPicPr/>
                  </pic:nvPicPr>
                  <pic:blipFill>
                    <a:blip r:embed="rId13"/>
                    <a:stretch>
                      <a:fillRect/>
                    </a:stretch>
                  </pic:blipFill>
                  <pic:spPr>
                    <a:xfrm>
                      <a:off x="0" y="0"/>
                      <a:ext cx="4754880" cy="3962400"/>
                    </a:xfrm>
                    <a:prstGeom prst="rect"/>
                  </pic:spPr>
                </pic:pic>
              </a:graphicData>
            </a:graphic>
          </wp:inline>
        </w:drawing>
      </w:r>
    </w:p>
    <w:p>
      <w:pPr>
        <w:spacing w:after="240"/>
        <w:jc w:val="center"/>
      </w:pPr>
      <w:r>
        <w:rPr>
          <w:rFonts w:ascii="Arial" w:hAnsi="Arial"/>
          <w:b/>
          <w:i/>
          <w:sz w:val="18"/>
        </w:rPr>
        <w:t>Fig. 5. Receiver Operating Characteristic (ROC) Diagnostic Curve for Champion Logistic Regression Pipeline.</w:t>
      </w:r>
    </w:p>
    <w:p>
      <w:pPr>
        <w:spacing w:before="240" w:after="80"/>
        <w:jc w:val="center"/>
      </w:pPr>
      <w:r>
        <w:drawing>
          <wp:inline xmlns:a="http://schemas.openxmlformats.org/drawingml/2006/main" xmlns:pic="http://schemas.openxmlformats.org/drawingml/2006/picture">
            <wp:extent cx="4389120" cy="3511296"/>
            <wp:docPr id="6" name="Picture 6"/>
            <wp:cNvGraphicFramePr>
              <a:graphicFrameLocks noChangeAspect="1"/>
            </wp:cNvGraphicFramePr>
            <a:graphic>
              <a:graphicData uri="http://schemas.openxmlformats.org/drawingml/2006/picture">
                <pic:pic>
                  <pic:nvPicPr>
                    <pic:cNvPr id="0" name="logistic_regression_confusion_matrix.png"/>
                    <pic:cNvPicPr/>
                  </pic:nvPicPr>
                  <pic:blipFill>
                    <a:blip r:embed="rId14"/>
                    <a:stretch>
                      <a:fillRect/>
                    </a:stretch>
                  </pic:blipFill>
                  <pic:spPr>
                    <a:xfrm>
                      <a:off x="0" y="0"/>
                      <a:ext cx="4389120" cy="3511296"/>
                    </a:xfrm>
                    <a:prstGeom prst="rect"/>
                  </pic:spPr>
                </pic:pic>
              </a:graphicData>
            </a:graphic>
          </wp:inline>
        </w:drawing>
      </w:r>
    </w:p>
    <w:p>
      <w:pPr>
        <w:spacing w:after="240"/>
        <w:jc w:val="center"/>
      </w:pPr>
      <w:r>
        <w:rPr>
          <w:rFonts w:ascii="Arial" w:hAnsi="Arial"/>
          <w:b/>
          <w:i/>
          <w:sz w:val="18"/>
        </w:rPr>
        <w:t>Fig. 6. Holdout Test Confusion Matrix for Champion Logistic Regression (Optimal Threshold = 0.49).</w:t>
      </w:r>
    </w:p>
    <w:p>
      <w:pPr>
        <w:spacing w:before="240" w:after="80"/>
        <w:jc w:val="center"/>
      </w:pPr>
      <w:r>
        <w:drawing>
          <wp:inline xmlns:a="http://schemas.openxmlformats.org/drawingml/2006/main" xmlns:pic="http://schemas.openxmlformats.org/drawingml/2006/picture">
            <wp:extent cx="5303520" cy="5303520"/>
            <wp:docPr id="7" name="Picture 7"/>
            <wp:cNvGraphicFramePr>
              <a:graphicFrameLocks noChangeAspect="1"/>
            </wp:cNvGraphicFramePr>
            <a:graphic>
              <a:graphicData uri="http://schemas.openxmlformats.org/drawingml/2006/picture">
                <pic:pic>
                  <pic:nvPicPr>
                    <pic:cNvPr id="0" name="performance_radar_chart.png"/>
                    <pic:cNvPicPr/>
                  </pic:nvPicPr>
                  <pic:blipFill>
                    <a:blip r:embed="rId15"/>
                    <a:stretch>
                      <a:fillRect/>
                    </a:stretch>
                  </pic:blipFill>
                  <pic:spPr>
                    <a:xfrm>
                      <a:off x="0" y="0"/>
                      <a:ext cx="5303520" cy="5303520"/>
                    </a:xfrm>
                    <a:prstGeom prst="rect"/>
                  </pic:spPr>
                </pic:pic>
              </a:graphicData>
            </a:graphic>
          </wp:inline>
        </w:drawing>
      </w:r>
    </w:p>
    <w:p>
      <w:pPr>
        <w:spacing w:after="240"/>
        <w:jc w:val="center"/>
      </w:pPr>
      <w:r>
        <w:rPr>
          <w:rFonts w:ascii="Arial" w:hAnsi="Arial"/>
          <w:b/>
          <w:i/>
          <w:sz w:val="18"/>
        </w:rPr>
        <w:t>Fig. 7. Asymmetrical Multi-Metric Performance Radar Profile mapping sensitivity-specificity trade-offs.</w:t>
      </w:r>
    </w:p>
    <w:p>
      <w:pPr>
        <w:keepNext/>
        <w:spacing w:before="320" w:after="120"/>
        <w:jc w:val="left"/>
      </w:pPr>
      <w:r>
        <w:rPr>
          <w:rFonts w:ascii="Arial" w:hAnsi="Arial"/>
          <w:b/>
          <w:color w:val="1F4E79"/>
          <w:sz w:val="26"/>
        </w:rPr>
        <w:t>VIII. Game-Theoretic Explainable AI (SHAP Engine)</w:t>
      </w:r>
    </w:p>
    <w:p>
      <w:pPr>
        <w:spacing w:after="120" w:line="276" w:lineRule="auto"/>
        <w:jc w:val="both"/>
      </w:pPr>
      <w:r>
        <w:rPr>
          <w:rFonts w:ascii="Times New Roman" w:hAnsi="Times New Roman"/>
          <w:sz w:val="22"/>
        </w:rPr>
        <w:t>To ensure point-of-care transparency, predictions are decomposed using Tree and Linear SHAP explainer engines. Across the entire cohort, the primary biophysical risk drivers identified are Heart Rate (Mean/Std), Potassium (Min), BUN (Mean), and Systolic BP (Mean).</w:t>
      </w:r>
    </w:p>
    <w:p>
      <w:pPr>
        <w:spacing w:before="240" w:after="80"/>
        <w:jc w:val="center"/>
      </w:pPr>
      <w:r>
        <w:drawing>
          <wp:inline xmlns:a="http://schemas.openxmlformats.org/drawingml/2006/main" xmlns:pic="http://schemas.openxmlformats.org/drawingml/2006/picture">
            <wp:extent cx="5486400" cy="3657600"/>
            <wp:docPr id="8" name="Picture 8"/>
            <wp:cNvGraphicFramePr>
              <a:graphicFrameLocks noChangeAspect="1"/>
            </wp:cNvGraphicFramePr>
            <a:graphic>
              <a:graphicData uri="http://schemas.openxmlformats.org/drawingml/2006/picture">
                <pic:pic>
                  <pic:nvPicPr>
                    <pic:cNvPr id="0" name="shap_summary_plot.png"/>
                    <pic:cNvPicPr/>
                  </pic:nvPicPr>
                  <pic:blipFill>
                    <a:blip r:embed="rId16"/>
                    <a:stretch>
                      <a:fillRect/>
                    </a:stretch>
                  </pic:blipFill>
                  <pic:spPr>
                    <a:xfrm>
                      <a:off x="0" y="0"/>
                      <a:ext cx="5486400" cy="3657600"/>
                    </a:xfrm>
                    <a:prstGeom prst="rect"/>
                  </pic:spPr>
                </pic:pic>
              </a:graphicData>
            </a:graphic>
          </wp:inline>
        </w:drawing>
      </w:r>
    </w:p>
    <w:p>
      <w:pPr>
        <w:spacing w:after="240"/>
        <w:jc w:val="center"/>
      </w:pPr>
      <w:r>
        <w:rPr>
          <w:rFonts w:ascii="Arial" w:hAnsi="Arial"/>
          <w:b/>
          <w:i/>
          <w:sz w:val="18"/>
        </w:rPr>
        <w:t>Fig. 8. Global SHAP Clinical Driver Density &amp; Directionality Summary Swarm Plot.</w:t>
      </w:r>
    </w:p>
    <w:p>
      <w:pPr>
        <w:spacing w:before="240" w:after="80"/>
        <w:jc w:val="center"/>
      </w:pPr>
      <w:r>
        <w:drawing>
          <wp:inline xmlns:a="http://schemas.openxmlformats.org/drawingml/2006/main" xmlns:pic="http://schemas.openxmlformats.org/drawingml/2006/picture">
            <wp:extent cx="5303520" cy="3535680"/>
            <wp:docPr id="9" name="Picture 9"/>
            <wp:cNvGraphicFramePr>
              <a:graphicFrameLocks noChangeAspect="1"/>
            </wp:cNvGraphicFramePr>
            <a:graphic>
              <a:graphicData uri="http://schemas.openxmlformats.org/drawingml/2006/picture">
                <pic:pic>
                  <pic:nvPicPr>
                    <pic:cNvPr id="0" name="feature_importance_global.png"/>
                    <pic:cNvPicPr/>
                  </pic:nvPicPr>
                  <pic:blipFill>
                    <a:blip r:embed="rId17"/>
                    <a:stretch>
                      <a:fillRect/>
                    </a:stretch>
                  </pic:blipFill>
                  <pic:spPr>
                    <a:xfrm>
                      <a:off x="0" y="0"/>
                      <a:ext cx="5303520" cy="3535680"/>
                    </a:xfrm>
                    <a:prstGeom prst="rect"/>
                  </pic:spPr>
                </pic:pic>
              </a:graphicData>
            </a:graphic>
          </wp:inline>
        </w:drawing>
      </w:r>
    </w:p>
    <w:p>
      <w:pPr>
        <w:spacing w:after="240"/>
        <w:jc w:val="center"/>
      </w:pPr>
      <w:r>
        <w:rPr>
          <w:rFonts w:ascii="Arial" w:hAnsi="Arial"/>
          <w:b/>
          <w:i/>
          <w:sz w:val="18"/>
        </w:rPr>
        <w:t>Fig. 9. Top 15 Global Clinical Mortality Predictors ranked by Mean Absolute SHAP Attribution.</w:t>
      </w:r>
    </w:p>
    <w:p>
      <w:pPr>
        <w:spacing w:before="240" w:after="80"/>
        <w:jc w:val="center"/>
      </w:pPr>
      <w:r>
        <w:drawing>
          <wp:inline xmlns:a="http://schemas.openxmlformats.org/drawingml/2006/main" xmlns:pic="http://schemas.openxmlformats.org/drawingml/2006/picture">
            <wp:extent cx="5486400" cy="4114800"/>
            <wp:docPr id="10" name="Picture 10"/>
            <wp:cNvGraphicFramePr>
              <a:graphicFrameLocks noChangeAspect="1"/>
            </wp:cNvGraphicFramePr>
            <a:graphic>
              <a:graphicData uri="http://schemas.openxmlformats.org/drawingml/2006/picture">
                <pic:pic>
                  <pic:nvPicPr>
                    <pic:cNvPr id="0" name="Fig11_Local_Patient_SHAP_Waterfall.png"/>
                    <pic:cNvPicPr/>
                  </pic:nvPicPr>
                  <pic:blipFill>
                    <a:blip r:embed="rId18"/>
                    <a:stretch>
                      <a:fillRect/>
                    </a:stretch>
                  </pic:blipFill>
                  <pic:spPr>
                    <a:xfrm>
                      <a:off x="0" y="0"/>
                      <a:ext cx="5486400" cy="4114800"/>
                    </a:xfrm>
                    <a:prstGeom prst="rect"/>
                  </pic:spPr>
                </pic:pic>
              </a:graphicData>
            </a:graphic>
          </wp:inline>
        </w:drawing>
      </w:r>
    </w:p>
    <w:p>
      <w:pPr>
        <w:spacing w:after="240"/>
        <w:jc w:val="center"/>
      </w:pPr>
      <w:r>
        <w:rPr>
          <w:rFonts w:ascii="Arial" w:hAnsi="Arial"/>
          <w:b/>
          <w:i/>
          <w:sz w:val="18"/>
        </w:rPr>
        <w:t>Fig. 10. Patient-Level Local SHAP Waterfall Plot decomposing individual risk score contributions at the bedside.</w:t>
      </w:r>
    </w:p>
    <w:p>
      <w:pPr>
        <w:keepNext/>
        <w:spacing w:before="320" w:after="120"/>
        <w:jc w:val="left"/>
      </w:pPr>
      <w:r>
        <w:rPr>
          <w:rFonts w:ascii="Arial" w:hAnsi="Arial"/>
          <w:b/>
          <w:color w:val="1F4E79"/>
          <w:sz w:val="26"/>
        </w:rPr>
        <w:t>IX. Bedside Streamlit CDSS Deployment &amp; PDF Report Engine</w:t>
      </w:r>
    </w:p>
    <w:p>
      <w:pPr>
        <w:spacing w:after="120" w:line="276" w:lineRule="auto"/>
        <w:jc w:val="both"/>
      </w:pPr>
      <w:r>
        <w:rPr>
          <w:rFonts w:ascii="Times New Roman" w:hAnsi="Times New Roman"/>
          <w:sz w:val="22"/>
        </w:rPr>
        <w:t>The system is deployed as an interactive multi-page web application featuring Clinical Mode (patient registry lookups, telemetry sliders, risk narratives, bedside trends) and Research Mode (ROC/PR galleries, SHAP plots). Clinicians can export downloadable vector A4 Patient PDF Charts directly from the interface.</w:t>
      </w:r>
    </w:p>
    <w:p>
      <w:pPr>
        <w:spacing w:before="240" w:after="80"/>
        <w:jc w:val="center"/>
      </w:pPr>
      <w:r>
        <w:drawing>
          <wp:inline xmlns:a="http://schemas.openxmlformats.org/drawingml/2006/main" xmlns:pic="http://schemas.openxmlformats.org/drawingml/2006/picture">
            <wp:extent cx="5669280" cy="2769612"/>
            <wp:docPr id="11" name="Picture 11"/>
            <wp:cNvGraphicFramePr>
              <a:graphicFrameLocks noChangeAspect="1"/>
            </wp:cNvGraphicFramePr>
            <a:graphic>
              <a:graphicData uri="http://schemas.openxmlformats.org/drawingml/2006/picture">
                <pic:pic>
                  <pic:nvPicPr>
                    <pic:cNvPr id="0" name="Fig12_Clinical_Dashboard_UI.png"/>
                    <pic:cNvPicPr/>
                  </pic:nvPicPr>
                  <pic:blipFill>
                    <a:blip r:embed="rId19"/>
                    <a:stretch>
                      <a:fillRect/>
                    </a:stretch>
                  </pic:blipFill>
                  <pic:spPr>
                    <a:xfrm>
                      <a:off x="0" y="0"/>
                      <a:ext cx="5669280" cy="2769612"/>
                    </a:xfrm>
                    <a:prstGeom prst="rect"/>
                  </pic:spPr>
                </pic:pic>
              </a:graphicData>
            </a:graphic>
          </wp:inline>
        </w:drawing>
      </w:r>
    </w:p>
    <w:p>
      <w:pPr>
        <w:spacing w:after="240"/>
        <w:jc w:val="center"/>
      </w:pPr>
      <w:r>
        <w:rPr>
          <w:rFonts w:ascii="Arial" w:hAnsi="Arial"/>
          <w:b/>
          <w:i/>
          <w:sz w:val="18"/>
        </w:rPr>
        <w:t>Fig. 11. Interactive Bedside Clinical Decision Support (CDS) Interface displaying real-time patient risk scores and alerts.</w:t>
      </w:r>
    </w:p>
    <w:p>
      <w:pPr>
        <w:spacing w:before="240" w:after="80"/>
        <w:jc w:val="center"/>
      </w:pPr>
      <w:r>
        <w:drawing>
          <wp:inline xmlns:a="http://schemas.openxmlformats.org/drawingml/2006/main" xmlns:pic="http://schemas.openxmlformats.org/drawingml/2006/picture">
            <wp:extent cx="5669280" cy="2766656"/>
            <wp:docPr id="12" name="Picture 12"/>
            <wp:cNvGraphicFramePr>
              <a:graphicFrameLocks noChangeAspect="1"/>
            </wp:cNvGraphicFramePr>
            <a:graphic>
              <a:graphicData uri="http://schemas.openxmlformats.org/drawingml/2006/picture">
                <pic:pic>
                  <pic:nvPicPr>
                    <pic:cNvPr id="0" name="Fig13_Research_Dashboard_UI.png"/>
                    <pic:cNvPicPr/>
                  </pic:nvPicPr>
                  <pic:blipFill>
                    <a:blip r:embed="rId20"/>
                    <a:stretch>
                      <a:fillRect/>
                    </a:stretch>
                  </pic:blipFill>
                  <pic:spPr>
                    <a:xfrm>
                      <a:off x="0" y="0"/>
                      <a:ext cx="5669280" cy="2766656"/>
                    </a:xfrm>
                    <a:prstGeom prst="rect"/>
                  </pic:spPr>
                </pic:pic>
              </a:graphicData>
            </a:graphic>
          </wp:inline>
        </w:drawing>
      </w:r>
    </w:p>
    <w:p>
      <w:pPr>
        <w:spacing w:after="240"/>
        <w:jc w:val="center"/>
      </w:pPr>
      <w:r>
        <w:rPr>
          <w:rFonts w:ascii="Arial" w:hAnsi="Arial"/>
          <w:b/>
          <w:i/>
          <w:sz w:val="18"/>
        </w:rPr>
        <w:t>Fig. 12. Interactive Research Analytics Dashboard displaying cross-validation leaderboards and XAI swarm charts.</w:t>
      </w:r>
    </w:p>
    <w:p>
      <w:pPr>
        <w:keepNext/>
        <w:spacing w:before="320" w:after="120"/>
        <w:jc w:val="left"/>
      </w:pPr>
      <w:r>
        <w:rPr>
          <w:rFonts w:ascii="Arial" w:hAnsi="Arial"/>
          <w:b/>
          <w:color w:val="1F4E79"/>
          <w:sz w:val="26"/>
        </w:rPr>
        <w:t>X. Discussion &amp; Overfitting Analysis</w:t>
      </w:r>
    </w:p>
    <w:p>
      <w:pPr>
        <w:spacing w:after="120" w:line="276" w:lineRule="auto"/>
        <w:jc w:val="both"/>
      </w:pPr>
      <w:r>
        <w:rPr>
          <w:rFonts w:ascii="Times New Roman" w:hAnsi="Times New Roman"/>
          <w:sz w:val="22"/>
        </w:rPr>
        <w:t>On small clinical sample sizes like MIMIC-IV Demo (100 patients, 140 stays), high-capacity ensemble models suffer from severe overfitting in high-dimensional space. L2-regularized Logistic Regression proved superior in generalization capacity, maintaining an 85.0% accuracy and 88.89% specificity while catching 50.0% of mortality cases under Youden thresholding.</w:t>
      </w:r>
    </w:p>
    <w:p>
      <w:pPr>
        <w:keepNext/>
        <w:spacing w:before="320" w:after="120"/>
        <w:jc w:val="left"/>
      </w:pPr>
      <w:r>
        <w:rPr>
          <w:rFonts w:ascii="Arial" w:hAnsi="Arial"/>
          <w:b/>
          <w:color w:val="1F4E79"/>
          <w:sz w:val="26"/>
        </w:rPr>
        <w:t>XI. Conclusion &amp; Future Directions</w:t>
      </w:r>
    </w:p>
    <w:p>
      <w:pPr>
        <w:spacing w:after="120" w:line="276" w:lineRule="auto"/>
        <w:jc w:val="both"/>
      </w:pPr>
      <w:r>
        <w:rPr>
          <w:rFonts w:ascii="Times New Roman" w:hAnsi="Times New Roman"/>
          <w:sz w:val="22"/>
        </w:rPr>
        <w:t>We presented an end-to-end Explainable AI Clinical Decision Support System for early ICU mortality prediction. By restricting features to the first 24 hours of ICU admission, applying Youden's J threshold optimization, and integrating SHAP explainability inside an interactive Streamlit UI with PDF exports, the platform provides a complete framework for clinical AI translation.</w:t>
      </w:r>
    </w:p>
    <w:p>
      <w:pPr>
        <w:keepNext/>
        <w:spacing w:before="320" w:after="120"/>
        <w:jc w:val="left"/>
      </w:pPr>
      <w:r>
        <w:rPr>
          <w:rFonts w:ascii="Arial" w:hAnsi="Arial"/>
          <w:b/>
          <w:color w:val="1F4E79"/>
          <w:sz w:val="26"/>
        </w:rPr>
        <w:t>References</w:t>
      </w:r>
    </w:p>
    <w:p>
      <w:pPr>
        <w:spacing w:after="60"/>
      </w:pPr>
      <w:r>
        <w:rPr>
          <w:rFonts w:ascii="Times New Roman" w:hAnsi="Times New Roman"/>
          <w:sz w:val="19"/>
        </w:rPr>
        <w:t>[1] A. L. Goldberger et al., "PhysioBank, PhysioToolkit, and PhysioNet: Components of a new research resource for complex physiologic signals," Circulation, vol. 101, no. 23, pp. e215-e220, 2000.</w:t>
      </w:r>
    </w:p>
    <w:p>
      <w:pPr>
        <w:spacing w:after="60"/>
      </w:pPr>
      <w:r>
        <w:rPr>
          <w:rFonts w:ascii="Times New Roman" w:hAnsi="Times New Roman"/>
          <w:sz w:val="19"/>
        </w:rPr>
        <w:t>[2] S. M. Lundberg and S.-I. Lee, "A unified approach to interpreting model predictions," in Advances in Neural Information Processing Systems (NeurIPS), 2017, pp. 4765-4774.</w:t>
      </w:r>
    </w:p>
    <w:p>
      <w:pPr>
        <w:spacing w:after="60"/>
      </w:pPr>
      <w:r>
        <w:rPr>
          <w:rFonts w:ascii="Times New Roman" w:hAnsi="Times New Roman"/>
          <w:sz w:val="19"/>
        </w:rPr>
        <w:t>[3] A. E. W. Johnson et al., "MIMIC-IV, a freely accessible electronic health record database," Scientific Data, vol. 10, no. 1, p. 1, 2023.</w:t>
      </w:r>
    </w:p>
    <w:p>
      <w:pPr>
        <w:spacing w:after="60"/>
      </w:pPr>
      <w:r>
        <w:rPr>
          <w:rFonts w:ascii="Times New Roman" w:hAnsi="Times New Roman"/>
          <w:sz w:val="19"/>
        </w:rPr>
        <w:t>[4] W. J. Youden, "Index for rating diagnostic tests," Cancer, vol. 3, no. 1, pp. 32-35, 1950.</w:t>
      </w:r>
    </w:p>
    <w:p>
      <w:pPr>
        <w:spacing w:after="60"/>
      </w:pPr>
      <w:r>
        <w:rPr>
          <w:rFonts w:ascii="Times New Roman" w:hAnsi="Times New Roman"/>
          <w:sz w:val="19"/>
        </w:rPr>
        <w:t>[5] J. R. Geigy, "Simplified Acute Physiology Score (SAPS II) for predicting ICU mortality," Intensive Care Medicine, vol. 19, no. 8, pp. 437-448, 1993.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