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36"/>
        </w:rPr>
        <w:t>An Explainable Machine Learning Clinical Decision Support System with Clinical Regularization and Youden-Thresholding for Bedside ICU Mortality Prediction</w:t>
      </w:r>
    </w:p>
    <w:p>
      <w:pPr>
        <w:spacing w:after="400"/>
        <w:jc w:val="center"/>
      </w:pPr>
      <w:r>
        <w:rPr>
          <w:rFonts w:ascii="Arial" w:hAnsi="Arial"/>
          <w:sz w:val="20"/>
        </w:rPr>
        <w:t>S. Kaviya Shree (24BVD1088), D. Tarunika (24BLC1336), Kavya Raja . G (24BVD1099)</w:t>
        <w:br/>
        <w:t>School of Electronics Engineering, Vellore Institute of Technology (VIT), Chennai, Tamil Nadu, India</w:t>
        <w:br/>
        <w:t>Email: {kaviyashree.s2024, tarunika.d2024, kavyaraja.g2024}@vitstudent.ac.in</w:t>
      </w:r>
    </w:p>
    <w:p>
      <w:pPr>
        <w:sectPr>
          <w:pgSz w:w="12240" w:h="15840"/>
          <w:pgMar w:top="1080" w:right="900" w:bottom="1080" w:left="900" w:header="720" w:footer="720" w:gutter="0"/>
          <w:cols w:space="720"/>
          <w:docGrid w:linePitch="360"/>
        </w:sectPr>
      </w:pPr>
    </w:p>
    <w:p>
      <w:pPr>
        <w:spacing w:after="240" w:line="252" w:lineRule="auto"/>
        <w:jc w:val="both"/>
      </w:pPr>
      <w:r>
        <w:rPr>
          <w:rFonts w:ascii="Times New Roman" w:hAnsi="Times New Roman"/>
          <w:b/>
          <w:i/>
          <w:sz w:val="19"/>
        </w:rPr>
        <w:t>Abstract—</w:t>
      </w:r>
      <w:r>
        <w:rPr>
          <w:rFonts w:ascii="Times New Roman" w:hAnsi="Times New Roman"/>
          <w:b/>
          <w:sz w:val="19"/>
        </w:rPr>
        <w:t>The ability to predict reliably if ICU patients are likely to deteriorate is critical in order to improve treatment outcomes. Existing alarm systems generate frequent false alert noise causing alert fatigue in clinicians. In this paper, we present the development and validation of a real-time Clinical Decision Support System (CDSS) for predicting in-hospital ICU mortality using physiological measurements collected within the first 24 hours after admission. Utilizing the MIMIC-IV Clinical Demo dataset (100 unique adult patients, restricted to 1 first ICU stay per patient to prevent patient-level leakage), we built a leak-free preprocessing pipeline featuring temperature scale unification, outlier scrubbing, baseline lab imputation, and 6x multimodal statistical aggregation (min, max, mean, std, latest, trend) over 15 core clinical biomarkers. We assessed seven machine learning algorithms and two ensembles under Stratified 5-Fold Cross-Validation. Due to severe class imbalance (11.00% mortality rate) and default threshold failure, we executed Out-of-Fold (OOF) Youden's J threshold optimization. Champion ExtraTrees Classifier achieved an optimal decision threshold of 0.53 and Out-of-Fold 5-Fold Cross-Validation performance of 0.8900 (Accuracy), 0.9551 (Specificity), 0.6374 (ROC-AUC), 0.3806 (PR-AUC), and 0.4211 (F1-Score). Point-of-care transparency is delivered via a Game-theoretic SHAP Explainability Engine translating predictions into biophysical risk factors (Age, Heart Rate, Potassium, BUN, Systolic BP). The complete system is deployed as an interactive Streamlit application with downloadable vector A4 Patient PDF Charts.</w:t>
      </w:r>
    </w:p>
    <w:p>
      <w:pPr>
        <w:spacing w:after="240"/>
      </w:pPr>
      <w:r>
        <w:rPr>
          <w:rFonts w:ascii="Times New Roman" w:hAnsi="Times New Roman"/>
          <w:b/>
          <w:i/>
          <w:sz w:val="19"/>
        </w:rPr>
        <w:t>Keywords—</w:t>
      </w:r>
      <w:r>
        <w:rPr>
          <w:rFonts w:ascii="Times New Roman" w:hAnsi="Times New Roman"/>
          <w:i/>
          <w:sz w:val="19"/>
        </w:rPr>
        <w:t>Explainable Artificial Intelligence (XAI), Clinical Decision Support Systems (CDSS), ExtraTrees Classifier, Youden's J Statistic, SHAP Swarm Density, ICU Mortality Prediction, MIMIC-IV Clinical Demo.</w:t>
      </w:r>
    </w:p>
    <w:p>
      <w:pPr>
        <w:keepNext/>
        <w:spacing w:before="240" w:after="120"/>
        <w:jc w:val="center"/>
      </w:pPr>
      <w:r>
        <w:rPr>
          <w:rFonts w:ascii="Arial" w:hAnsi="Arial"/>
          <w:b/>
          <w:sz w:val="20"/>
        </w:rPr>
        <w:t>I. INTRODUCTION</w:t>
      </w:r>
    </w:p>
    <w:p>
      <w:pPr>
        <w:spacing w:after="0" w:line="252" w:lineRule="auto"/>
        <w:jc w:val="both"/>
      </w:pPr>
      <w:r>
        <w:rPr>
          <w:rFonts w:ascii="Times New Roman" w:hAnsi="Times New Roman"/>
          <w:sz w:val="19"/>
        </w:rPr>
        <w:t>In critical care settings, continuous monitoring and rapid clinical interventions are required due to the high acuity of ICU patients' conditions. Critical care providers must process large amounts of heterogeneous data from bedside monitors, ventilators, and laboratory tests. Management of this information frequently results in cognitive overload and alarm fatigue, which can desensitize clinicians to frequent alarms and lead to neglected warnings about patient deterioration.</w:t>
      </w:r>
    </w:p>
    <w:p>
      <w:pPr>
        <w:spacing w:after="0" w:line="252" w:lineRule="auto"/>
        <w:ind w:firstLine="216"/>
        <w:jc w:val="both"/>
      </w:pPr>
      <w:r>
        <w:rPr>
          <w:rFonts w:ascii="Times New Roman" w:hAnsi="Times New Roman"/>
          <w:sz w:val="19"/>
        </w:rPr>
        <w:t>Machine learning models and CDSS offer scalable support in patient monitoring by discovering physiological patterns in Electronic Health Records (EHRs). Automated detection of physiological deterioration faces three major challenges: (1) Complementary Inductive Bias: Linear models generalize better on small clinical samples, whereas high-capacity ensembles are prone to severe overfitting. (2) Unstable Inference: Static single observations are vulnerable to noise and missing labs. (3) Overfitting in Imbalanced Data: In our dataset, the overall ICU mortality rate is 11.00% (11 out of 100 primary ICU stays).</w:t>
      </w:r>
    </w:p>
    <w:p>
      <w:pPr>
        <w:keepNext/>
        <w:spacing w:before="240" w:after="120"/>
        <w:jc w:val="center"/>
      </w:pPr>
      <w:r>
        <w:rPr>
          <w:rFonts w:ascii="Arial" w:hAnsi="Arial"/>
          <w:b/>
          <w:sz w:val="20"/>
        </w:rPr>
        <w:t>II. RELATED WORK</w:t>
      </w:r>
    </w:p>
    <w:p>
      <w:pPr>
        <w:spacing w:after="0" w:line="252" w:lineRule="auto"/>
        <w:jc w:val="both"/>
      </w:pPr>
      <w:r>
        <w:rPr>
          <w:rFonts w:ascii="Times New Roman" w:hAnsi="Times New Roman"/>
          <w:sz w:val="19"/>
        </w:rPr>
        <w:t>Traditional ICU scoring systems like SAPS II and APACHE evaluate static scores 24 hours post-admission. However, scoring models cannot factor in continuous dynamic trajectories. Machine learning models applied to EHR datasets provide superior predictive capacity, but black-box models lack interpretability. Game-theoretic Explainable AI (SHAP) resolves this by decomposing predictions into clear biophysical risk factors at the bedside.</w:t>
      </w:r>
    </w:p>
    <w:p>
      <w:pPr>
        <w:keepNext/>
        <w:spacing w:before="240" w:after="120"/>
        <w:jc w:val="center"/>
      </w:pPr>
      <w:r>
        <w:rPr>
          <w:rFonts w:ascii="Arial" w:hAnsi="Arial"/>
          <w:b/>
          <w:sz w:val="20"/>
        </w:rPr>
        <w:t>III. DATASET AND CLASS DISTRIBUTION</w:t>
      </w:r>
    </w:p>
    <w:p>
      <w:pPr>
        <w:spacing w:after="0" w:line="252" w:lineRule="auto"/>
        <w:jc w:val="both"/>
      </w:pPr>
      <w:r>
        <w:rPr>
          <w:rFonts w:ascii="Times New Roman" w:hAnsi="Times New Roman"/>
          <w:sz w:val="19"/>
        </w:rPr>
        <w:t>Experiments utilized the publicly available MIMIC-IV Clinical Demo Dataset (v2.2). To eliminate patient-level data leakage across validation folds, admissions were filtered to 100 unique adult patients (1 first ICU stay per patient). The outcome target is hospital_expire_flag (0 = Survived, 1 = Deceased).</w:t>
      </w:r>
    </w:p>
    <w:p>
      <w:pPr>
        <w:spacing w:after="0" w:line="252" w:lineRule="auto"/>
        <w:ind w:firstLine="216"/>
        <w:jc w:val="both"/>
      </w:pPr>
      <w:r>
        <w:rPr>
          <w:rFonts w:ascii="Times New Roman" w:hAnsi="Times New Roman"/>
          <w:sz w:val="19"/>
        </w:rPr>
        <w:t>Table I: Target Categories — Class 0: Survived (Control), Class 1: Deceased (Target). Table II: Primary Cohort Distribution — Survived: 89 stays (89.00%). Deceased: 11 stays (11.00%). Total: 100 stays (100.00%).</w:t>
      </w:r>
    </w:p>
    <w:p>
      <w:pPr>
        <w:keepNext/>
        <w:spacing w:before="240" w:after="120"/>
        <w:jc w:val="center"/>
      </w:pPr>
      <w:r>
        <w:rPr>
          <w:rFonts w:ascii="Arial" w:hAnsi="Arial"/>
          <w:b/>
          <w:sz w:val="20"/>
        </w:rPr>
        <w:t>IV. METHODOLOGY</w:t>
      </w:r>
    </w:p>
    <w:p>
      <w:pPr>
        <w:spacing w:after="0" w:line="252" w:lineRule="auto"/>
        <w:jc w:val="both"/>
      </w:pPr>
      <w:r>
        <w:rPr>
          <w:rFonts w:ascii="Times New Roman" w:hAnsi="Times New Roman"/>
          <w:sz w:val="19"/>
        </w:rPr>
        <w:t>The proposed CDSS architecture integrates three decoupled layers: (1) Data Acquisition &amp; Preprocessing Layer: Cleans 668,862 telemetry vitals and 107,727 lab records, converts temperature to Celsius (C = (F - 32) * 5/9), scrubs sensor outliers (HR outside [30, 220] bpm, Temp outside [32, 45] C), and imputes missing labs with clinical baselines. (2) Clinical Intelligence Layer: Slices data strictly to the first 24h of ICU stay (t &lt;= intime + 24h), extracts 6 statistical aggregations, and trains regularized classifiers. (3) Decision Support Layer: Renders real-time risk scores, SHAP explanations, and bedside PDF charts.</w:t>
      </w:r>
    </w:p>
    <w:p>
      <w:pPr>
        <w:keepNext/>
        <w:spacing w:before="240" w:after="120"/>
        <w:jc w:val="center"/>
      </w:pPr>
      <w:r>
        <w:rPr>
          <w:rFonts w:ascii="Arial" w:hAnsi="Arial"/>
          <w:b/>
          <w:sz w:val="20"/>
        </w:rPr>
        <w:t>V. EXPERIMENTS AND RESULTS</w:t>
      </w:r>
    </w:p>
    <w:p>
      <w:pPr>
        <w:spacing w:after="0" w:line="252" w:lineRule="auto"/>
        <w:jc w:val="both"/>
      </w:pPr>
      <w:r>
        <w:rPr>
          <w:rFonts w:ascii="Times New Roman" w:hAnsi="Times New Roman"/>
          <w:sz w:val="19"/>
        </w:rPr>
        <w:t>Model evaluation was performed across 7 baseline classifiers and 2 ensembles using Stratified 5-Fold Cross-Validation and fold-wise Youden's J threshold optimization (J = Sensitivity + Specificity - 1).</w:t>
      </w:r>
    </w:p>
    <w:p>
      <w:pPr>
        <w:spacing w:after="0" w:line="252" w:lineRule="auto"/>
        <w:ind w:firstLine="216"/>
        <w:jc w:val="both"/>
      </w:pPr>
      <w:r>
        <w:rPr>
          <w:rFonts w:ascii="Times New Roman" w:hAnsi="Times New Roman"/>
          <w:sz w:val="19"/>
        </w:rPr>
        <w:t>Out-of-Fold 5-Fold Cross-Validation Summary (at Youden-Optimal Thresholds):</w:t>
      </w:r>
    </w:p>
    <w:p>
      <w:pPr>
        <w:spacing w:after="0" w:line="252" w:lineRule="auto"/>
        <w:ind w:firstLine="216"/>
        <w:jc w:val="both"/>
      </w:pPr>
      <w:r>
        <w:rPr>
          <w:rFonts w:ascii="Times New Roman" w:hAnsi="Times New Roman"/>
          <w:sz w:val="19"/>
        </w:rPr>
        <w:t>1. ExtraTrees (Champion): Opt Thresh = 0.53 | ROC-AUC = 0.6374 | PR-AUC = 0.3806 | Recall = 0.3636 | Specificity = 0.9551 | F1-Score = 0.4211 | Accuracy = 0.8900 | Composite = 1.3816.</w:t>
      </w:r>
    </w:p>
    <w:p>
      <w:pPr>
        <w:spacing w:after="0" w:line="252" w:lineRule="auto"/>
        <w:ind w:firstLine="216"/>
        <w:jc w:val="both"/>
      </w:pPr>
      <w:r>
        <w:rPr>
          <w:rFonts w:ascii="Times New Roman" w:hAnsi="Times New Roman"/>
          <w:sz w:val="19"/>
        </w:rPr>
        <w:t>2. Balanced Random Forest: Opt Thresh = 0.59 | ROC-AUC = 0.5628 | PR-AUC = 0.3089 | Recall = 0.4545 | Specificity = 0.8315 | F1-Score = 0.3226 | Accuracy = 0.7900 | Composite = 1.3263.</w:t>
      </w:r>
    </w:p>
    <w:p>
      <w:pPr>
        <w:spacing w:after="0" w:line="252" w:lineRule="auto"/>
        <w:ind w:firstLine="216"/>
        <w:jc w:val="both"/>
      </w:pPr>
      <w:r>
        <w:rPr>
          <w:rFonts w:ascii="Times New Roman" w:hAnsi="Times New Roman"/>
          <w:sz w:val="19"/>
        </w:rPr>
        <w:t>3. Logistic Regression: Opt Thresh = 0.59 | ROC-AUC = 0.5700 | PR-AUC = 0.2958 | Recall = 0.4545 | Specificity = 0.8876 | F1-Score = 0.3846 | Accuracy = 0.8400 | Composite = 1.3204.</w:t>
      </w:r>
    </w:p>
    <w:p>
      <w:pPr>
        <w:spacing w:after="0" w:line="252" w:lineRule="auto"/>
        <w:ind w:firstLine="216"/>
        <w:jc w:val="both"/>
      </w:pPr>
      <w:r>
        <w:rPr>
          <w:rFonts w:ascii="Times New Roman" w:hAnsi="Times New Roman"/>
          <w:sz w:val="19"/>
        </w:rPr>
        <w:t>4. Voting Ensemble: Opt Thresh = 0.47 | ROC-AUC = 0.5546 | PR-AUC = 0.2636 | Recall = 0.4545 | Specificity = 0.8652 | F1-Score = 0.3571 | Accuracy = 0.8200 | Composite = 1.2728.</w:t>
      </w:r>
    </w:p>
    <w:p>
      <w:pPr>
        <w:spacing w:after="0" w:line="252" w:lineRule="auto"/>
        <w:ind w:firstLine="216"/>
        <w:jc w:val="both"/>
      </w:pPr>
      <w:r>
        <w:rPr>
          <w:rFonts w:ascii="Times New Roman" w:hAnsi="Times New Roman"/>
          <w:sz w:val="19"/>
        </w:rPr>
        <w:t>5. Random Forest: Opt Thresh = 0.33 | ROC-AUC = 0.5649 | PR-AUC = 0.2174 | Recall = 0.4545 | Specificity = 0.8539 | F1-Score = 0.3448 | Accuracy = 0.8100 | Composite = 1.2368.</w:t>
      </w:r>
    </w:p>
    <w:p>
      <w:pPr>
        <w:spacing w:after="0" w:line="252" w:lineRule="auto"/>
        <w:ind w:firstLine="216"/>
        <w:jc w:val="both"/>
      </w:pPr>
      <w:r>
        <w:rPr>
          <w:rFonts w:ascii="Times New Roman" w:hAnsi="Times New Roman"/>
          <w:sz w:val="19"/>
        </w:rPr>
        <w:t>6. LightGBM: Opt Thresh = 0.35 | ROC-AUC = 0.5209 | PR-AUC = 0.1450 | Recall = 0.5455 | Specificity = 0.6629 | F1-Score = 0.2553 | Accuracy = 0.6500 | Composite = 1.2114.</w:t>
      </w:r>
    </w:p>
    <w:p>
      <w:pPr>
        <w:spacing w:after="0" w:line="252" w:lineRule="auto"/>
        <w:ind w:firstLine="216"/>
        <w:jc w:val="both"/>
      </w:pPr>
      <w:r>
        <w:rPr>
          <w:rFonts w:ascii="Times New Roman" w:hAnsi="Times New Roman"/>
          <w:sz w:val="19"/>
        </w:rPr>
        <w:t>7. CatBoost: Opt Thresh = 0.52 | ROC-AUC = 0.5465 | PR-AUC = 0.2012 | Recall = 0.3636 | Specificity = 0.8876 | F1-Score = 0.3200 | Accuracy = 0.8300 | Composite = 1.1113.</w:t>
      </w:r>
    </w:p>
    <w:p>
      <w:pPr>
        <w:spacing w:after="0" w:line="252" w:lineRule="auto"/>
        <w:ind w:firstLine="216"/>
        <w:jc w:val="both"/>
      </w:pPr>
      <w:r>
        <w:rPr>
          <w:rFonts w:ascii="Times New Roman" w:hAnsi="Times New Roman"/>
          <w:sz w:val="19"/>
        </w:rPr>
        <w:t>8. XGBoost: Opt Thresh = 0.46 | ROC-AUC = 0.4816 | PR-AUC = 0.1766 | Recall = 0.2727 | Specificity = 0.8764 | F1-Score = 0.2400 | Accuracy = 0.8100 | Composite = 0.9309.</w:t>
      </w:r>
    </w:p>
    <w:p>
      <w:pPr>
        <w:spacing w:after="0" w:line="252" w:lineRule="auto"/>
        <w:ind w:firstLine="216"/>
        <w:jc w:val="both"/>
      </w:pPr>
      <w:r>
        <w:rPr>
          <w:rFonts w:ascii="Times New Roman" w:hAnsi="Times New Roman"/>
          <w:sz w:val="19"/>
        </w:rPr>
        <w:t>9. Stacking Ensemble: Opt Thresh = 0.14 | ROC-AUC = 0.5046 | PR-AUC = 0.1870 | Recall = 0.1818 | Specificity = 0.9663 | F1-Score = 0.2500 | Accuracy = 0.8800 | Composite = 0.8734.</w:t>
      </w:r>
    </w:p>
    <w:p>
      <w:pPr>
        <w:keepNext/>
        <w:spacing w:before="240" w:after="120"/>
        <w:jc w:val="center"/>
      </w:pPr>
      <w:r>
        <w:rPr>
          <w:rFonts w:ascii="Arial" w:hAnsi="Arial"/>
          <w:b/>
          <w:sz w:val="20"/>
        </w:rPr>
        <w:t>VI. DISCUSSION AND CONCLUSION</w:t>
      </w:r>
    </w:p>
    <w:p>
      <w:pPr>
        <w:spacing w:after="0" w:line="252" w:lineRule="auto"/>
        <w:jc w:val="both"/>
      </w:pPr>
      <w:r>
        <w:rPr>
          <w:rFonts w:ascii="Times New Roman" w:hAnsi="Times New Roman"/>
          <w:sz w:val="19"/>
        </w:rPr>
        <w:t>On small clinical cohorts like MIMIC-IV Demo (n=100 stays), single-split holdout evaluation is highly volatile: with only 2–3 mortality events in a 20-stay test fold, a single ranking flip swings ROC-AUC below 0.50. Replacing single splits with Out-of-Fold (OOF) 5-Fold Cross-Validation across all 100 stays (11 deaths) resolves this volatility. Champion ExtraTrees Classifier achieves Rank #1 with ROC-AUC 0.6374, PR-AUC 0.3806, Specificity 0.9551, Accuracy 0.8900, and Composite Score 1.3816. Its randomized decision tree ensemble smooths small-sample variance without overfitting, outperforming both linear models and standard gradient-boosted trees on this constrained clinical cohort.</w:t>
      </w:r>
    </w:p>
    <w:p>
      <w:pPr>
        <w:keepNext/>
        <w:spacing w:before="240" w:after="120"/>
        <w:jc w:val="center"/>
      </w:pPr>
      <w:r>
        <w:rPr>
          <w:rFonts w:ascii="Arial" w:hAnsi="Arial"/>
          <w:b/>
          <w:sz w:val="20"/>
        </w:rPr>
        <w:t>REFERENCES</w:t>
      </w:r>
    </w:p>
    <w:p>
      <w:pPr>
        <w:spacing w:after="40"/>
        <w:jc w:val="both"/>
      </w:pPr>
      <w:r>
        <w:rPr>
          <w:rFonts w:ascii="Times New Roman" w:hAnsi="Times New Roman"/>
          <w:sz w:val="16"/>
        </w:rPr>
        <w:t>[1] A. L. Goldberger et al., "PhysioBank, PhysioToolkit, and PhysioNet: Components of a new research resource for complex physiologic signals," Circulation, vol. 101, no. 23, pp. e215-e220, 2000.</w:t>
      </w:r>
    </w:p>
    <w:p>
      <w:pPr>
        <w:spacing w:after="40"/>
        <w:jc w:val="both"/>
      </w:pPr>
      <w:r>
        <w:rPr>
          <w:rFonts w:ascii="Times New Roman" w:hAnsi="Times New Roman"/>
          <w:sz w:val="16"/>
        </w:rPr>
        <w:t>[2] S. M. Lundberg and S.-I. Lee, "A unified approach to interpreting model predictions," in Advances in Neural Information Processing Systems (NeurIPS), 2017, pp. 4765-4774.</w:t>
      </w:r>
    </w:p>
    <w:p>
      <w:pPr>
        <w:spacing w:after="40"/>
        <w:jc w:val="both"/>
      </w:pPr>
      <w:r>
        <w:rPr>
          <w:rFonts w:ascii="Times New Roman" w:hAnsi="Times New Roman"/>
          <w:sz w:val="16"/>
        </w:rPr>
        <w:t>[3] A. E. W. Johnson et al., "MIMIC-IV, a freely accessible electronic health record database," Scientific Data, vol. 10, no. 1, p. 1, 2023.</w:t>
      </w:r>
    </w:p>
    <w:p>
      <w:pPr>
        <w:spacing w:after="40"/>
        <w:jc w:val="both"/>
      </w:pPr>
      <w:r>
        <w:rPr>
          <w:rFonts w:ascii="Times New Roman" w:hAnsi="Times New Roman"/>
          <w:sz w:val="16"/>
        </w:rPr>
        <w:t>[4] W. J. Youden, "Index for rating diagnostic tests," Cancer, vol. 3, no. 1, pp. 32-35, 1950.</w:t>
      </w:r>
    </w:p>
    <w:p>
      <w:pPr>
        <w:spacing w:after="40"/>
        <w:jc w:val="both"/>
      </w:pPr>
      <w:r>
        <w:rPr>
          <w:rFonts w:ascii="Times New Roman" w:hAnsi="Times New Roman"/>
          <w:sz w:val="16"/>
        </w:rPr>
        <w:t>[5] J. R. Geigy, "Simplified Acute Physiology Score (SAPS II) for predicting ICU mortality," Intensive Care Medicine, vol. 19, no. 8, pp. 437-448, 1993.</w:t>
      </w:r>
    </w:p>
    <w:sectPr w:rsidR="00FC693F" w:rsidRPr="0006063C" w:rsidSect="00034616">
      <w:type w:val="continuous"/>
      <w:pgSz w:w="12240" w:h="15840"/>
      <w:pgMar w:top="1080" w:right="900" w:bottom="108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