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5AE8" w14:textId="77777777" w:rsidR="004F68B3" w:rsidRDefault="004F68B3"/>
    <w:p w14:paraId="16B4C239" w14:textId="77777777" w:rsidR="004F68B3" w:rsidRDefault="004F68B3">
      <w:pPr>
        <w:rPr>
          <w:rFonts w:ascii="Times New Roman" w:hAnsi="Times New Roman" w:cs="Times New Roman"/>
          <w:sz w:val="32"/>
          <w:szCs w:val="32"/>
        </w:rPr>
      </w:pPr>
    </w:p>
    <w:p w14:paraId="36AAB961" w14:textId="77777777" w:rsidR="004F68B3" w:rsidRDefault="004F68B3">
      <w:pPr>
        <w:rPr>
          <w:rFonts w:ascii="Times New Roman" w:hAnsi="Times New Roman" w:cs="Times New Roman"/>
          <w:sz w:val="32"/>
          <w:szCs w:val="32"/>
        </w:rPr>
      </w:pPr>
    </w:p>
    <w:p w14:paraId="571CF8AB" w14:textId="77777777" w:rsidR="00B01586" w:rsidRDefault="00B01586" w:rsidP="00B01586">
      <w:pPr>
        <w:jc w:val="center"/>
        <w:rPr>
          <w:rFonts w:ascii="Times New Roman" w:hAnsi="Times New Roman" w:cs="Times New Roman"/>
          <w:sz w:val="32"/>
          <w:szCs w:val="32"/>
        </w:rPr>
      </w:pPr>
    </w:p>
    <w:p w14:paraId="032E4B8C" w14:textId="77777777" w:rsidR="00B01586" w:rsidRDefault="00B01586" w:rsidP="00B01586">
      <w:pPr>
        <w:jc w:val="center"/>
        <w:rPr>
          <w:rFonts w:ascii="Times New Roman" w:hAnsi="Times New Roman" w:cs="Times New Roman"/>
          <w:sz w:val="32"/>
          <w:szCs w:val="32"/>
        </w:rPr>
      </w:pPr>
    </w:p>
    <w:p w14:paraId="31AF591E" w14:textId="77777777" w:rsidR="00B01586" w:rsidRDefault="00B01586" w:rsidP="00B01586">
      <w:pPr>
        <w:jc w:val="center"/>
        <w:rPr>
          <w:rFonts w:ascii="Times New Roman" w:hAnsi="Times New Roman" w:cs="Times New Roman"/>
          <w:sz w:val="32"/>
          <w:szCs w:val="32"/>
        </w:rPr>
      </w:pPr>
    </w:p>
    <w:p w14:paraId="162FC173" w14:textId="77777777" w:rsidR="00B01586" w:rsidRDefault="00B01586" w:rsidP="00B01586">
      <w:pPr>
        <w:jc w:val="center"/>
        <w:rPr>
          <w:rFonts w:ascii="Times New Roman" w:hAnsi="Times New Roman" w:cs="Times New Roman"/>
          <w:sz w:val="32"/>
          <w:szCs w:val="32"/>
        </w:rPr>
      </w:pPr>
    </w:p>
    <w:p w14:paraId="115237F6" w14:textId="77777777" w:rsidR="00B01586" w:rsidRDefault="00B01586" w:rsidP="00B01586">
      <w:pPr>
        <w:jc w:val="center"/>
        <w:rPr>
          <w:rFonts w:ascii="Times New Roman" w:hAnsi="Times New Roman" w:cs="Times New Roman"/>
          <w:sz w:val="32"/>
          <w:szCs w:val="32"/>
        </w:rPr>
      </w:pPr>
    </w:p>
    <w:p w14:paraId="2FAD8D00" w14:textId="77777777" w:rsidR="00B01586" w:rsidRDefault="00B01586" w:rsidP="00B01586">
      <w:pPr>
        <w:jc w:val="center"/>
        <w:rPr>
          <w:rFonts w:ascii="Times New Roman" w:hAnsi="Times New Roman" w:cs="Times New Roman"/>
          <w:sz w:val="32"/>
          <w:szCs w:val="32"/>
        </w:rPr>
      </w:pPr>
    </w:p>
    <w:p w14:paraId="4933A145" w14:textId="1A399FA0" w:rsidR="00B01586" w:rsidRDefault="00B01586" w:rsidP="00B01586">
      <w:pPr>
        <w:jc w:val="center"/>
        <w:rPr>
          <w:rFonts w:ascii="Times New Roman" w:hAnsi="Times New Roman" w:cs="Times New Roman"/>
          <w:sz w:val="32"/>
          <w:szCs w:val="32"/>
        </w:rPr>
      </w:pPr>
      <w:r>
        <w:rPr>
          <w:rFonts w:ascii="Times New Roman" w:hAnsi="Times New Roman" w:cs="Times New Roman"/>
          <w:sz w:val="32"/>
          <w:szCs w:val="32"/>
        </w:rPr>
        <w:t>BP DCF Analysis &amp; Equity Valuation</w:t>
      </w:r>
    </w:p>
    <w:p w14:paraId="5CBEBC84" w14:textId="77777777" w:rsidR="00B01586" w:rsidRDefault="00B01586" w:rsidP="00B01586">
      <w:pPr>
        <w:pBdr>
          <w:bottom w:val="single" w:sz="12" w:space="1" w:color="auto"/>
        </w:pBdr>
        <w:jc w:val="center"/>
        <w:rPr>
          <w:rFonts w:ascii="Times New Roman" w:hAnsi="Times New Roman" w:cs="Times New Roman"/>
          <w:sz w:val="32"/>
          <w:szCs w:val="32"/>
        </w:rPr>
      </w:pPr>
    </w:p>
    <w:p w14:paraId="1C52F5BD" w14:textId="77777777" w:rsidR="00B01586" w:rsidRPr="004F68B3" w:rsidRDefault="00B01586" w:rsidP="00B01586">
      <w:pPr>
        <w:jc w:val="center"/>
        <w:rPr>
          <w:rFonts w:ascii="Times New Roman" w:hAnsi="Times New Roman" w:cs="Times New Roman"/>
          <w:sz w:val="32"/>
          <w:szCs w:val="32"/>
        </w:rPr>
      </w:pPr>
    </w:p>
    <w:p w14:paraId="7F136E70" w14:textId="77777777" w:rsidR="004F68B3" w:rsidRDefault="004F68B3">
      <w:pPr>
        <w:rPr>
          <w:rFonts w:ascii="Times New Roman" w:hAnsi="Times New Roman" w:cs="Times New Roman"/>
          <w:sz w:val="32"/>
          <w:szCs w:val="32"/>
        </w:rPr>
      </w:pPr>
    </w:p>
    <w:p w14:paraId="11F6F944" w14:textId="77777777" w:rsidR="004F68B3" w:rsidRDefault="004F68B3">
      <w:pPr>
        <w:rPr>
          <w:rFonts w:ascii="Times New Roman" w:hAnsi="Times New Roman" w:cs="Times New Roman"/>
          <w:sz w:val="32"/>
          <w:szCs w:val="32"/>
        </w:rPr>
      </w:pPr>
    </w:p>
    <w:p w14:paraId="127C0E8C" w14:textId="77777777" w:rsidR="004F68B3" w:rsidRDefault="004F68B3">
      <w:pPr>
        <w:rPr>
          <w:rFonts w:ascii="Times New Roman" w:hAnsi="Times New Roman" w:cs="Times New Roman"/>
          <w:sz w:val="32"/>
          <w:szCs w:val="32"/>
        </w:rPr>
      </w:pPr>
    </w:p>
    <w:p w14:paraId="0217C6B8" w14:textId="77777777" w:rsidR="004F68B3" w:rsidRDefault="004F68B3">
      <w:pPr>
        <w:rPr>
          <w:rFonts w:ascii="Times New Roman" w:hAnsi="Times New Roman" w:cs="Times New Roman"/>
          <w:sz w:val="32"/>
          <w:szCs w:val="32"/>
        </w:rPr>
      </w:pPr>
    </w:p>
    <w:p w14:paraId="5FE594BA" w14:textId="77777777" w:rsidR="004F68B3" w:rsidRDefault="004F68B3" w:rsidP="004F68B3">
      <w:pPr>
        <w:jc w:val="center"/>
        <w:rPr>
          <w:rFonts w:ascii="Times New Roman" w:hAnsi="Times New Roman" w:cs="Times New Roman"/>
          <w:sz w:val="32"/>
          <w:szCs w:val="32"/>
        </w:rPr>
      </w:pPr>
    </w:p>
    <w:p w14:paraId="25BE2011" w14:textId="32A014D2" w:rsidR="004F68B3" w:rsidRDefault="004F68B3" w:rsidP="004F68B3">
      <w:pPr>
        <w:jc w:val="center"/>
        <w:rPr>
          <w:rFonts w:ascii="Times New Roman" w:hAnsi="Times New Roman" w:cs="Times New Roman"/>
          <w:sz w:val="32"/>
          <w:szCs w:val="32"/>
        </w:rPr>
      </w:pPr>
    </w:p>
    <w:p w14:paraId="00BE5188" w14:textId="3007049B" w:rsidR="004F68B3" w:rsidRDefault="004F68B3">
      <w:pPr>
        <w:pBdr>
          <w:bottom w:val="single" w:sz="12" w:space="1" w:color="auto"/>
        </w:pBdr>
        <w:rPr>
          <w:rFonts w:ascii="Times New Roman" w:hAnsi="Times New Roman" w:cs="Times New Roman"/>
          <w:sz w:val="32"/>
          <w:szCs w:val="32"/>
        </w:rPr>
      </w:pPr>
      <w:r>
        <w:rPr>
          <w:rFonts w:ascii="Times New Roman" w:hAnsi="Times New Roman" w:cs="Times New Roman"/>
          <w:sz w:val="32"/>
          <w:szCs w:val="32"/>
        </w:rPr>
        <w:br w:type="page"/>
      </w:r>
    </w:p>
    <w:p w14:paraId="2D717B75" w14:textId="77777777" w:rsidR="00B01586" w:rsidRDefault="00B01586">
      <w:pPr>
        <w:pBdr>
          <w:bottom w:val="single" w:sz="12" w:space="1" w:color="auto"/>
        </w:pBdr>
        <w:rPr>
          <w:rFonts w:ascii="Times New Roman" w:hAnsi="Times New Roman" w:cs="Times New Roman"/>
          <w:sz w:val="32"/>
          <w:szCs w:val="32"/>
        </w:rPr>
      </w:pPr>
    </w:p>
    <w:p w14:paraId="358020F7" w14:textId="3C1D6C07" w:rsidR="004F68B3" w:rsidRDefault="004F68B3" w:rsidP="004F68B3">
      <w:pPr>
        <w:rPr>
          <w:rFonts w:ascii="Times New Roman" w:hAnsi="Times New Roman" w:cs="Times New Roman"/>
          <w:b/>
          <w:bCs/>
        </w:rPr>
      </w:pPr>
      <w:r>
        <w:rPr>
          <w:rFonts w:ascii="Times New Roman" w:hAnsi="Times New Roman" w:cs="Times New Roman"/>
          <w:b/>
          <w:bCs/>
        </w:rPr>
        <w:t xml:space="preserve">1.  Key Assumptions</w:t>
      </w:r>
    </w:p>
    <w:p w14:paraId="7C02BF39" w14:textId="77777777" w:rsidR="004F68B3" w:rsidRPr="004F68B3" w:rsidRDefault="004F68B3" w:rsidP="004F68B3">
      <w:pPr>
        <w:rPr>
          <w:rFonts w:ascii="Times New Roman" w:hAnsi="Times New Roman" w:cs="Times New Roman"/>
          <w:b/>
          <w:bCs/>
        </w:rPr>
      </w:pPr>
    </w:p>
    <w:tbl>
      <w:tblPr>
        <w:tblW w:w="9424" w:type="dxa"/>
        <w:tblLook w:val="04A0" w:firstRow="1" w:lastRow="0" w:firstColumn="1" w:lastColumn="0" w:noHBand="0" w:noVBand="1"/>
      </w:tblPr>
      <w:tblGrid>
        <w:gridCol w:w="4440"/>
        <w:gridCol w:w="1638"/>
        <w:gridCol w:w="3346"/>
      </w:tblGrid>
      <w:tr w:rsidR="004F68B3" w:rsidRPr="004F68B3" w14:paraId="5D5125BB" w14:textId="77777777" w:rsidTr="004F68B3">
        <w:trPr>
          <w:trHeight w:val="96"/>
        </w:trPr>
        <w:tc>
          <w:tcPr>
            <w:tcW w:w="4440" w:type="dxa"/>
            <w:tcBorders>
              <w:top w:val="nil"/>
              <w:left w:val="nil"/>
              <w:bottom w:val="nil"/>
              <w:right w:val="nil"/>
            </w:tcBorders>
            <w:noWrap/>
            <w:vAlign w:val="bottom"/>
            <w:hideMark/>
          </w:tcPr>
          <w:p w14:paraId="18C752E9" w14:textId="77777777" w:rsidR="004F68B3" w:rsidRPr="004F68B3" w:rsidRDefault="004F68B3" w:rsidP="004F68B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Key Valuation Assumptions</w:t>
            </w:r>
          </w:p>
        </w:tc>
        <w:tc>
          <w:tcPr>
            <w:tcW w:w="1638" w:type="dxa"/>
            <w:tcBorders>
              <w:top w:val="nil"/>
              <w:left w:val="nil"/>
              <w:bottom w:val="nil"/>
              <w:right w:val="nil"/>
            </w:tcBorders>
            <w:noWrap/>
            <w:vAlign w:val="bottom"/>
            <w:hideMark/>
          </w:tcPr>
          <w:p w14:paraId="31C46B32" w14:textId="77777777" w:rsidR="004F68B3" w:rsidRPr="004F68B3" w:rsidRDefault="004F68B3" w:rsidP="004F68B3">
            <w:pPr>
              <w:spacing w:after="0" w:line="240" w:lineRule="auto"/>
              <w:rPr>
                <w:rFonts w:ascii="Aptos Narrow" w:eastAsia="Times New Roman" w:hAnsi="Aptos Narrow" w:cs="Times New Roman"/>
                <w:b/>
                <w:bCs/>
                <w:color w:val="000000"/>
                <w:kern w:val="0"/>
                <w:lang w:eastAsia="en-GB"/>
                <w14:ligatures w14:val="none"/>
              </w:rPr>
            </w:pPr>
          </w:p>
        </w:tc>
        <w:tc>
          <w:tcPr>
            <w:tcW w:w="3346" w:type="dxa"/>
            <w:tcBorders>
              <w:top w:val="nil"/>
              <w:left w:val="nil"/>
              <w:bottom w:val="nil"/>
              <w:right w:val="nil"/>
            </w:tcBorders>
            <w:noWrap/>
            <w:vAlign w:val="bottom"/>
            <w:hideMark/>
          </w:tcPr>
          <w:p w14:paraId="575119A1" w14:textId="77777777" w:rsidR="004F68B3" w:rsidRPr="004F68B3" w:rsidRDefault="004F68B3" w:rsidP="004F68B3">
            <w:pPr>
              <w:spacing w:after="0" w:line="240" w:lineRule="auto"/>
              <w:rPr>
                <w:rFonts w:ascii="Times New Roman" w:eastAsia="Times New Roman" w:hAnsi="Times New Roman" w:cs="Times New Roman"/>
                <w:kern w:val="0"/>
                <w:sz w:val="20"/>
                <w:szCs w:val="20"/>
                <w:lang w:eastAsia="en-GB"/>
                <w14:ligatures w14:val="none"/>
              </w:rPr>
            </w:pPr>
          </w:p>
        </w:tc>
      </w:tr>
      <w:tr w:rsidR="004F68B3" w:rsidRPr="004F68B3" w14:paraId="1F08299C" w14:textId="77777777" w:rsidTr="004F68B3">
        <w:trPr>
          <w:trHeight w:val="89"/>
        </w:trPr>
        <w:tc>
          <w:tcPr>
            <w:tcW w:w="4440" w:type="dxa"/>
            <w:tcBorders>
              <w:top w:val="nil"/>
              <w:left w:val="nil"/>
              <w:bottom w:val="nil"/>
              <w:right w:val="nil"/>
            </w:tcBorders>
            <w:noWrap/>
            <w:vAlign w:val="bottom"/>
            <w:hideMark/>
          </w:tcPr>
          <w:p w14:paraId="0D215486" w14:textId="77777777" w:rsidR="004F68B3" w:rsidRPr="004F68B3" w:rsidRDefault="004F68B3" w:rsidP="004F68B3">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Item</w:t>
            </w:r>
          </w:p>
        </w:tc>
        <w:tc>
          <w:tcPr>
            <w:tcW w:w="1638" w:type="dxa"/>
            <w:tcBorders>
              <w:top w:val="nil"/>
              <w:left w:val="nil"/>
              <w:bottom w:val="nil"/>
              <w:right w:val="nil"/>
            </w:tcBorders>
            <w:noWrap/>
            <w:vAlign w:val="bottom"/>
            <w:hideMark/>
          </w:tcPr>
          <w:p w14:paraId="52B44722" w14:textId="77777777" w:rsidR="004F68B3" w:rsidRPr="004F68B3" w:rsidRDefault="004F68B3" w:rsidP="004F68B3">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Value</w:t>
            </w:r>
          </w:p>
        </w:tc>
        <w:tc>
          <w:tcPr>
            <w:tcW w:w="3346" w:type="dxa"/>
            <w:tcBorders>
              <w:top w:val="nil"/>
              <w:left w:val="nil"/>
              <w:bottom w:val="nil"/>
              <w:right w:val="nil"/>
            </w:tcBorders>
            <w:noWrap/>
            <w:vAlign w:val="bottom"/>
            <w:hideMark/>
          </w:tcPr>
          <w:p w14:paraId="6919D4DE" w14:textId="77777777" w:rsidR="004F68B3" w:rsidRPr="004F68B3" w:rsidRDefault="004F68B3" w:rsidP="004F68B3">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Notes</w:t>
            </w:r>
          </w:p>
        </w:tc>
      </w:tr>
      <w:tr w:rsidR="004F68B3" w:rsidRPr="004F68B3" w14:paraId="77A8ADCD" w14:textId="77777777" w:rsidTr="004F68B3">
        <w:trPr>
          <w:trHeight w:val="89"/>
        </w:trPr>
        <w:tc>
          <w:tcPr>
            <w:tcW w:w="4440" w:type="dxa"/>
            <w:tcBorders>
              <w:top w:val="nil"/>
              <w:left w:val="nil"/>
              <w:bottom w:val="nil"/>
              <w:right w:val="nil"/>
            </w:tcBorders>
            <w:noWrap/>
            <w:vAlign w:val="bottom"/>
            <w:hideMark/>
          </w:tcPr>
          <w:p w14:paraId="1730FACD"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Base Year FCF (£m)</w:t>
            </w:r>
          </w:p>
        </w:tc>
        <w:tc>
          <w:tcPr>
            <w:tcW w:w="1638" w:type="dxa"/>
            <w:tcBorders>
              <w:top w:val="nil"/>
              <w:left w:val="nil"/>
              <w:bottom w:val="nil"/>
              <w:right w:val="nil"/>
            </w:tcBorders>
            <w:noWrap/>
            <w:vAlign w:val="bottom"/>
            <w:hideMark/>
          </w:tcPr>
          <w:p w14:paraId="4D1235A2"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10,667</w:t>
            </w:r>
          </w:p>
        </w:tc>
        <w:tc>
          <w:tcPr>
            <w:tcW w:w="3346" w:type="dxa"/>
            <w:tcBorders>
              <w:top w:val="nil"/>
              <w:left w:val="nil"/>
              <w:bottom w:val="nil"/>
              <w:right w:val="nil"/>
            </w:tcBorders>
            <w:noWrap/>
            <w:vAlign w:val="bottom"/>
            <w:hideMark/>
          </w:tcPr>
          <w:p w14:paraId="4EA0534E"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FY 2024 FCF</w:t>
            </w:r>
          </w:p>
        </w:tc>
      </w:tr>
      <w:tr w:rsidR="004F68B3" w:rsidRPr="004F68B3" w14:paraId="68769DB9" w14:textId="77777777" w:rsidTr="004F68B3">
        <w:trPr>
          <w:trHeight w:val="89"/>
        </w:trPr>
        <w:tc>
          <w:tcPr>
            <w:tcW w:w="4440" w:type="dxa"/>
            <w:tcBorders>
              <w:top w:val="nil"/>
              <w:left w:val="nil"/>
              <w:bottom w:val="nil"/>
              <w:right w:val="nil"/>
            </w:tcBorders>
            <w:noWrap/>
            <w:vAlign w:val="bottom"/>
            <w:hideMark/>
          </w:tcPr>
          <w:p w14:paraId="1D2082D7"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FCF Growth Rate (Years 1-5)</w:t>
            </w:r>
          </w:p>
        </w:tc>
        <w:tc>
          <w:tcPr>
            <w:tcW w:w="1638" w:type="dxa"/>
            <w:tcBorders>
              <w:top w:val="nil"/>
              <w:left w:val="nil"/>
              <w:bottom w:val="nil"/>
              <w:right w:val="nil"/>
            </w:tcBorders>
            <w:noWrap/>
            <w:vAlign w:val="bottom"/>
            <w:hideMark/>
          </w:tcPr>
          <w:p w14:paraId="03484534"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2.00%</w:t>
            </w:r>
          </w:p>
        </w:tc>
        <w:tc>
          <w:tcPr>
            <w:tcW w:w="3346" w:type="dxa"/>
            <w:tcBorders>
              <w:top w:val="nil"/>
              <w:left w:val="nil"/>
              <w:bottom w:val="nil"/>
              <w:right w:val="nil"/>
            </w:tcBorders>
            <w:noWrap/>
            <w:vAlign w:val="bottom"/>
            <w:hideMark/>
          </w:tcPr>
          <w:p w14:paraId="0693A03B"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Conservative</w:t>
            </w:r>
          </w:p>
        </w:tc>
      </w:tr>
      <w:tr w:rsidR="004F68B3" w:rsidRPr="004F68B3" w14:paraId="3DC5C17E" w14:textId="77777777" w:rsidTr="004F68B3">
        <w:trPr>
          <w:trHeight w:val="89"/>
        </w:trPr>
        <w:tc>
          <w:tcPr>
            <w:tcW w:w="4440" w:type="dxa"/>
            <w:tcBorders>
              <w:top w:val="nil"/>
              <w:left w:val="nil"/>
              <w:bottom w:val="nil"/>
              <w:right w:val="nil"/>
            </w:tcBorders>
            <w:noWrap/>
            <w:vAlign w:val="bottom"/>
            <w:hideMark/>
          </w:tcPr>
          <w:p w14:paraId="298DAC13"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Discount Rate (WACC)</w:t>
            </w:r>
          </w:p>
        </w:tc>
        <w:tc>
          <w:tcPr>
            <w:tcW w:w="1638" w:type="dxa"/>
            <w:tcBorders>
              <w:top w:val="nil"/>
              <w:left w:val="nil"/>
              <w:bottom w:val="nil"/>
              <w:right w:val="nil"/>
            </w:tcBorders>
            <w:noWrap/>
            <w:vAlign w:val="bottom"/>
            <w:hideMark/>
          </w:tcPr>
          <w:p w14:paraId="3B0F1258"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8.00%</w:t>
            </w:r>
          </w:p>
        </w:tc>
        <w:tc>
          <w:tcPr>
            <w:tcW w:w="3346" w:type="dxa"/>
            <w:tcBorders>
              <w:top w:val="nil"/>
              <w:left w:val="nil"/>
              <w:bottom w:val="nil"/>
              <w:right w:val="nil"/>
            </w:tcBorders>
            <w:noWrap/>
            <w:vAlign w:val="bottom"/>
            <w:hideMark/>
          </w:tcPr>
          <w:p w14:paraId="4C3F91B6"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Large oil major</w:t>
            </w:r>
          </w:p>
        </w:tc>
      </w:tr>
      <w:tr w:rsidR="004F68B3" w:rsidRPr="004F68B3" w14:paraId="3F467E43" w14:textId="77777777" w:rsidTr="004F68B3">
        <w:trPr>
          <w:trHeight w:val="89"/>
        </w:trPr>
        <w:tc>
          <w:tcPr>
            <w:tcW w:w="4440" w:type="dxa"/>
            <w:tcBorders>
              <w:top w:val="nil"/>
              <w:left w:val="nil"/>
              <w:bottom w:val="nil"/>
              <w:right w:val="nil"/>
            </w:tcBorders>
            <w:noWrap/>
            <w:vAlign w:val="bottom"/>
            <w:hideMark/>
          </w:tcPr>
          <w:p w14:paraId="669CD876"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Terminal Growth Rate</w:t>
            </w:r>
          </w:p>
        </w:tc>
        <w:tc>
          <w:tcPr>
            <w:tcW w:w="1638" w:type="dxa"/>
            <w:tcBorders>
              <w:top w:val="nil"/>
              <w:left w:val="nil"/>
              <w:bottom w:val="nil"/>
              <w:right w:val="nil"/>
            </w:tcBorders>
            <w:noWrap/>
            <w:vAlign w:val="bottom"/>
            <w:hideMark/>
          </w:tcPr>
          <w:p w14:paraId="2A2910F8"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1.50%</w:t>
            </w:r>
          </w:p>
        </w:tc>
        <w:tc>
          <w:tcPr>
            <w:tcW w:w="3346" w:type="dxa"/>
            <w:tcBorders>
              <w:top w:val="nil"/>
              <w:left w:val="nil"/>
              <w:bottom w:val="nil"/>
              <w:right w:val="nil"/>
            </w:tcBorders>
            <w:noWrap/>
            <w:vAlign w:val="bottom"/>
            <w:hideMark/>
          </w:tcPr>
          <w:p w14:paraId="047CB55E"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Long -term GDP</w:t>
            </w:r>
          </w:p>
        </w:tc>
      </w:tr>
      <w:tr w:rsidR="004F68B3" w:rsidRPr="004F68B3" w14:paraId="09070B71" w14:textId="77777777" w:rsidTr="004F68B3">
        <w:trPr>
          <w:trHeight w:val="89"/>
        </w:trPr>
        <w:tc>
          <w:tcPr>
            <w:tcW w:w="4440" w:type="dxa"/>
            <w:tcBorders>
              <w:top w:val="nil"/>
              <w:left w:val="nil"/>
              <w:bottom w:val="nil"/>
              <w:right w:val="nil"/>
            </w:tcBorders>
            <w:noWrap/>
            <w:vAlign w:val="bottom"/>
            <w:hideMark/>
          </w:tcPr>
          <w:p w14:paraId="0E66A324"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Net Debt (£m)</w:t>
            </w:r>
          </w:p>
        </w:tc>
        <w:tc>
          <w:tcPr>
            <w:tcW w:w="1638" w:type="dxa"/>
            <w:tcBorders>
              <w:top w:val="nil"/>
              <w:left w:val="nil"/>
              <w:bottom w:val="nil"/>
              <w:right w:val="nil"/>
            </w:tcBorders>
            <w:noWrap/>
            <w:vAlign w:val="bottom"/>
            <w:hideMark/>
          </w:tcPr>
          <w:p w14:paraId="128D448B"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25,187</w:t>
            </w:r>
          </w:p>
        </w:tc>
        <w:tc>
          <w:tcPr>
            <w:tcW w:w="3346" w:type="dxa"/>
            <w:tcBorders>
              <w:top w:val="nil"/>
              <w:left w:val="nil"/>
              <w:bottom w:val="nil"/>
              <w:right w:val="nil"/>
            </w:tcBorders>
            <w:noWrap/>
            <w:vAlign w:val="bottom"/>
            <w:hideMark/>
          </w:tcPr>
          <w:p w14:paraId="508B3F45"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From balance sheet</w:t>
            </w:r>
          </w:p>
        </w:tc>
      </w:tr>
      <w:tr w:rsidR="004F68B3" w:rsidRPr="004F68B3" w14:paraId="1C1ED669" w14:textId="77777777" w:rsidTr="004F68B3">
        <w:trPr>
          <w:trHeight w:val="89"/>
        </w:trPr>
        <w:tc>
          <w:tcPr>
            <w:tcW w:w="4440" w:type="dxa"/>
            <w:tcBorders>
              <w:top w:val="nil"/>
              <w:left w:val="nil"/>
              <w:bottom w:val="nil"/>
              <w:right w:val="nil"/>
            </w:tcBorders>
            <w:noWrap/>
            <w:vAlign w:val="bottom"/>
            <w:hideMark/>
          </w:tcPr>
          <w:p w14:paraId="6E4EAB90"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Shares Outstanding (m)</w:t>
            </w:r>
          </w:p>
        </w:tc>
        <w:tc>
          <w:tcPr>
            <w:tcW w:w="1638" w:type="dxa"/>
            <w:tcBorders>
              <w:top w:val="nil"/>
              <w:left w:val="nil"/>
              <w:bottom w:val="nil"/>
              <w:right w:val="nil"/>
            </w:tcBorders>
            <w:noWrap/>
            <w:vAlign w:val="bottom"/>
            <w:hideMark/>
          </w:tcPr>
          <w:p w14:paraId="5B18B862"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15,700</w:t>
            </w:r>
          </w:p>
        </w:tc>
        <w:tc>
          <w:tcPr>
            <w:tcW w:w="3346" w:type="dxa"/>
            <w:tcBorders>
              <w:top w:val="nil"/>
              <w:left w:val="nil"/>
              <w:bottom w:val="nil"/>
              <w:right w:val="nil"/>
            </w:tcBorders>
            <w:noWrap/>
            <w:vAlign w:val="bottom"/>
            <w:hideMark/>
          </w:tcPr>
          <w:p w14:paraId="5E667838"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Ordinary shares</w:t>
            </w:r>
          </w:p>
        </w:tc>
      </w:tr>
      <w:tr w:rsidR="004F68B3" w:rsidRPr="004F68B3" w14:paraId="26906873" w14:textId="77777777" w:rsidTr="004F68B3">
        <w:trPr>
          <w:trHeight w:val="89"/>
        </w:trPr>
        <w:tc>
          <w:tcPr>
            <w:tcW w:w="4440" w:type="dxa"/>
            <w:tcBorders>
              <w:top w:val="nil"/>
              <w:left w:val="nil"/>
              <w:bottom w:val="nil"/>
              <w:right w:val="nil"/>
            </w:tcBorders>
            <w:noWrap/>
            <w:vAlign w:val="bottom"/>
          </w:tcPr>
          <w:p w14:paraId="0E0BB88D" w14:textId="29795709" w:rsidR="004F68B3" w:rsidRPr="004F68B3" w:rsidRDefault="004F68B3" w:rsidP="004F68B3">
            <w:pPr>
              <w:spacing w:after="0" w:line="240" w:lineRule="auto"/>
              <w:rPr>
                <w:rFonts w:ascii="Times New Roman" w:eastAsia="Times New Roman" w:hAnsi="Times New Roman" w:cs="Times New Roman"/>
                <w:i/>
                <w:iCs/>
                <w:color w:val="000000"/>
                <w:kern w:val="0"/>
                <w:lang w:eastAsia="en-GB"/>
                <w14:ligatures w14:val="none"/>
              </w:rPr>
            </w:pPr>
          </w:p>
        </w:tc>
        <w:tc>
          <w:tcPr>
            <w:tcW w:w="1638" w:type="dxa"/>
            <w:tcBorders>
              <w:top w:val="nil"/>
              <w:left w:val="nil"/>
              <w:bottom w:val="nil"/>
              <w:right w:val="nil"/>
            </w:tcBorders>
            <w:noWrap/>
            <w:vAlign w:val="bottom"/>
          </w:tcPr>
          <w:p w14:paraId="72B3BA7C"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p>
        </w:tc>
        <w:tc>
          <w:tcPr>
            <w:tcW w:w="3346" w:type="dxa"/>
            <w:tcBorders>
              <w:top w:val="nil"/>
              <w:left w:val="nil"/>
              <w:bottom w:val="nil"/>
              <w:right w:val="nil"/>
            </w:tcBorders>
            <w:noWrap/>
            <w:vAlign w:val="bottom"/>
          </w:tcPr>
          <w:p w14:paraId="740608E6" w14:textId="77777777" w:rsidR="004F68B3" w:rsidRPr="004F68B3" w:rsidRDefault="004F68B3" w:rsidP="004F68B3">
            <w:pPr>
              <w:spacing w:after="0" w:line="240" w:lineRule="auto"/>
              <w:rPr>
                <w:rFonts w:ascii="Aptos Narrow" w:eastAsia="Times New Roman" w:hAnsi="Aptos Narrow" w:cs="Times New Roman"/>
                <w:color w:val="000000"/>
                <w:kern w:val="0"/>
                <w:sz w:val="22"/>
                <w:szCs w:val="22"/>
                <w:lang w:eastAsia="en-GB"/>
                <w14:ligatures w14:val="none"/>
              </w:rPr>
            </w:pPr>
          </w:p>
        </w:tc>
      </w:tr>
    </w:tbl>
    <w:p w14:paraId="3A0E681B" w14:textId="77777777" w:rsidR="004F68B3" w:rsidRDefault="004F68B3">
      <w:pPr>
        <w:pBdr>
          <w:bottom w:val="single" w:sz="12" w:space="1" w:color="auto"/>
        </w:pBdr>
        <w:rPr>
          <w:rFonts w:ascii="Times New Roman" w:hAnsi="Times New Roman" w:cs="Times New Roman"/>
          <w:sz w:val="32"/>
          <w:szCs w:val="32"/>
        </w:rPr>
      </w:pPr>
    </w:p>
    <w:p w14:paraId="17604FF6" w14:textId="2637716E" w:rsidR="004F68B3" w:rsidRPr="004F68B3" w:rsidRDefault="004F68B3">
      <w:pPr>
        <w:pBdr>
          <w:bottom w:val="single" w:sz="12" w:space="1" w:color="auto"/>
        </w:pBdr>
        <w:rPr>
          <w:rFonts w:ascii="Times New Roman" w:hAnsi="Times New Roman" w:cs="Times New Roman"/>
          <w:i/>
          <w:iCs/>
        </w:rPr>
      </w:pPr>
      <w:r>
        <w:rPr>
          <w:rFonts w:ascii="Times New Roman" w:hAnsi="Times New Roman" w:cs="Times New Roman"/>
          <w:i/>
          <w:iCs/>
        </w:rPr>
        <w:t>These assumptions provide the foundation for projecting BP’s future cash flows and calculating the present value of those flows.</w:t>
      </w:r>
    </w:p>
    <w:p w14:paraId="5BEAB231" w14:textId="77777777" w:rsidR="004F68B3" w:rsidRDefault="004F68B3">
      <w:pPr>
        <w:pBdr>
          <w:bottom w:val="single" w:sz="12" w:space="1" w:color="auto"/>
        </w:pBdr>
        <w:rPr>
          <w:rFonts w:ascii="Times New Roman" w:hAnsi="Times New Roman" w:cs="Times New Roman"/>
          <w:sz w:val="32"/>
          <w:szCs w:val="32"/>
        </w:rPr>
      </w:pPr>
    </w:p>
    <w:p w14:paraId="48517E6B" w14:textId="2B19A503" w:rsidR="004F68B3" w:rsidRDefault="004F68B3">
      <w:pPr>
        <w:rPr>
          <w:rFonts w:ascii="Times New Roman" w:hAnsi="Times New Roman" w:cs="Times New Roman"/>
          <w:b/>
          <w:bCs/>
        </w:rPr>
      </w:pPr>
      <w:r>
        <w:rPr>
          <w:rFonts w:ascii="Times New Roman" w:hAnsi="Times New Roman" w:cs="Times New Roman"/>
          <w:b/>
          <w:bCs/>
        </w:rPr>
        <w:t>2. Free Cash Flow Projection &amp; Discounting</w:t>
      </w:r>
    </w:p>
    <w:p w14:paraId="458EEFAE" w14:textId="77777777" w:rsidR="004F68B3" w:rsidRDefault="004F68B3">
      <w:pPr>
        <w:rPr>
          <w:rFonts w:ascii="Times New Roman" w:hAnsi="Times New Roman" w:cs="Times New Roman"/>
          <w:b/>
          <w:bCs/>
        </w:rPr>
      </w:pPr>
    </w:p>
    <w:tbl>
      <w:tblPr>
        <w:tblW w:w="7420" w:type="dxa"/>
        <w:tblLook w:val="04A0" w:firstRow="1" w:lastRow="0" w:firstColumn="1" w:lastColumn="0" w:noHBand="0" w:noVBand="1"/>
      </w:tblPr>
      <w:tblGrid>
        <w:gridCol w:w="2500"/>
        <w:gridCol w:w="2500"/>
        <w:gridCol w:w="2420"/>
      </w:tblGrid>
      <w:tr w:rsidR="004F68B3" w:rsidRPr="004F68B3" w14:paraId="5474D0E2" w14:textId="77777777" w:rsidTr="004F68B3">
        <w:trPr>
          <w:trHeight w:val="312"/>
        </w:trPr>
        <w:tc>
          <w:tcPr>
            <w:tcW w:w="2500" w:type="dxa"/>
            <w:tcBorders>
              <w:top w:val="nil"/>
              <w:left w:val="nil"/>
              <w:bottom w:val="nil"/>
              <w:right w:val="nil"/>
            </w:tcBorders>
            <w:noWrap/>
            <w:vAlign w:val="bottom"/>
            <w:hideMark/>
          </w:tcPr>
          <w:p w14:paraId="494458A5" w14:textId="77777777" w:rsidR="004F68B3" w:rsidRPr="004F68B3" w:rsidRDefault="004F68B3" w:rsidP="004F68B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Free Cash Flow Projection</w:t>
            </w:r>
          </w:p>
        </w:tc>
        <w:tc>
          <w:tcPr>
            <w:tcW w:w="2500" w:type="dxa"/>
            <w:tcBorders>
              <w:top w:val="nil"/>
              <w:left w:val="nil"/>
              <w:bottom w:val="nil"/>
              <w:right w:val="nil"/>
            </w:tcBorders>
            <w:noWrap/>
            <w:vAlign w:val="bottom"/>
            <w:hideMark/>
          </w:tcPr>
          <w:p w14:paraId="5E097CB8" w14:textId="77777777" w:rsidR="004F68B3" w:rsidRPr="004F68B3" w:rsidRDefault="004F68B3" w:rsidP="004F68B3">
            <w:pPr>
              <w:spacing w:after="0" w:line="240" w:lineRule="auto"/>
              <w:rPr>
                <w:rFonts w:ascii="Aptos Narrow" w:eastAsia="Times New Roman" w:hAnsi="Aptos Narrow" w:cs="Times New Roman"/>
                <w:b/>
                <w:bCs/>
                <w:color w:val="000000"/>
                <w:kern w:val="0"/>
                <w:lang w:eastAsia="en-GB"/>
                <w14:ligatures w14:val="none"/>
              </w:rPr>
            </w:pPr>
          </w:p>
        </w:tc>
        <w:tc>
          <w:tcPr>
            <w:tcW w:w="2420" w:type="dxa"/>
            <w:tcBorders>
              <w:top w:val="nil"/>
              <w:left w:val="nil"/>
              <w:bottom w:val="nil"/>
              <w:right w:val="nil"/>
            </w:tcBorders>
            <w:noWrap/>
            <w:vAlign w:val="bottom"/>
            <w:hideMark/>
          </w:tcPr>
          <w:p w14:paraId="2D028353" w14:textId="77777777" w:rsidR="004F68B3" w:rsidRPr="004F68B3" w:rsidRDefault="004F68B3" w:rsidP="004F68B3">
            <w:pPr>
              <w:spacing w:after="0" w:line="240" w:lineRule="auto"/>
              <w:rPr>
                <w:rFonts w:ascii="Times New Roman" w:eastAsia="Times New Roman" w:hAnsi="Times New Roman" w:cs="Times New Roman"/>
                <w:kern w:val="0"/>
                <w:sz w:val="20"/>
                <w:szCs w:val="20"/>
                <w:lang w:eastAsia="en-GB"/>
                <w14:ligatures w14:val="none"/>
              </w:rPr>
            </w:pPr>
          </w:p>
        </w:tc>
      </w:tr>
      <w:tr w:rsidR="004F68B3" w:rsidRPr="004F68B3" w14:paraId="77F14FBA" w14:textId="77777777" w:rsidTr="004F68B3">
        <w:trPr>
          <w:trHeight w:val="288"/>
        </w:trPr>
        <w:tc>
          <w:tcPr>
            <w:tcW w:w="2500" w:type="dxa"/>
            <w:tcBorders>
              <w:top w:val="nil"/>
              <w:left w:val="nil"/>
              <w:bottom w:val="nil"/>
              <w:right w:val="nil"/>
            </w:tcBorders>
            <w:noWrap/>
            <w:vAlign w:val="bottom"/>
            <w:hideMark/>
          </w:tcPr>
          <w:p w14:paraId="207E3DC1" w14:textId="77777777" w:rsidR="004F68B3" w:rsidRPr="004F68B3" w:rsidRDefault="004F68B3" w:rsidP="004F68B3">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Year</w:t>
            </w:r>
          </w:p>
        </w:tc>
        <w:tc>
          <w:tcPr>
            <w:tcW w:w="2500" w:type="dxa"/>
            <w:tcBorders>
              <w:top w:val="nil"/>
              <w:left w:val="nil"/>
              <w:bottom w:val="nil"/>
              <w:right w:val="nil"/>
            </w:tcBorders>
            <w:noWrap/>
            <w:vAlign w:val="bottom"/>
            <w:hideMark/>
          </w:tcPr>
          <w:p w14:paraId="2613CBD0" w14:textId="77777777" w:rsidR="004F68B3" w:rsidRPr="004F68B3" w:rsidRDefault="004F68B3" w:rsidP="004F68B3">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FCF (£m)</w:t>
            </w:r>
          </w:p>
        </w:tc>
        <w:tc>
          <w:tcPr>
            <w:tcW w:w="2420" w:type="dxa"/>
            <w:tcBorders>
              <w:top w:val="nil"/>
              <w:left w:val="nil"/>
              <w:bottom w:val="nil"/>
              <w:right w:val="nil"/>
            </w:tcBorders>
            <w:noWrap/>
            <w:vAlign w:val="bottom"/>
            <w:hideMark/>
          </w:tcPr>
          <w:p w14:paraId="607EB4F7" w14:textId="77777777" w:rsidR="004F68B3" w:rsidRPr="004F68B3" w:rsidRDefault="004F68B3" w:rsidP="004F68B3">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Growth %</w:t>
            </w:r>
          </w:p>
        </w:tc>
      </w:tr>
      <w:tr w:rsidR="004F68B3" w:rsidRPr="004F68B3" w14:paraId="1BF4DF66" w14:textId="77777777" w:rsidTr="004F68B3">
        <w:trPr>
          <w:trHeight w:val="288"/>
        </w:trPr>
        <w:tc>
          <w:tcPr>
            <w:tcW w:w="2500" w:type="dxa"/>
            <w:tcBorders>
              <w:top w:val="nil"/>
              <w:left w:val="nil"/>
              <w:bottom w:val="nil"/>
              <w:right w:val="nil"/>
            </w:tcBorders>
            <w:noWrap/>
            <w:vAlign w:val="bottom"/>
            <w:hideMark/>
          </w:tcPr>
          <w:p w14:paraId="7F8C9744"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w:t>
            </w:r>
          </w:p>
        </w:tc>
        <w:tc>
          <w:tcPr>
            <w:tcW w:w="2500" w:type="dxa"/>
            <w:tcBorders>
              <w:top w:val="nil"/>
              <w:left w:val="nil"/>
              <w:bottom w:val="nil"/>
              <w:right w:val="nil"/>
            </w:tcBorders>
            <w:noWrap/>
            <w:vAlign w:val="bottom"/>
            <w:hideMark/>
          </w:tcPr>
          <w:p w14:paraId="4F93FFEB" w14:textId="67B9C23B"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10,667.00</w:t>
            </w:r>
          </w:p>
        </w:tc>
        <w:tc>
          <w:tcPr>
            <w:tcW w:w="2420" w:type="dxa"/>
            <w:tcBorders>
              <w:top w:val="nil"/>
              <w:left w:val="nil"/>
              <w:bottom w:val="nil"/>
              <w:right w:val="nil"/>
            </w:tcBorders>
            <w:noWrap/>
            <w:vAlign w:val="bottom"/>
            <w:hideMark/>
          </w:tcPr>
          <w:p w14:paraId="7BCDA9B8"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p>
        </w:tc>
      </w:tr>
      <w:tr w:rsidR="004F68B3" w:rsidRPr="004F68B3" w14:paraId="2C837C81" w14:textId="77777777" w:rsidTr="004F68B3">
        <w:trPr>
          <w:trHeight w:val="288"/>
        </w:trPr>
        <w:tc>
          <w:tcPr>
            <w:tcW w:w="2500" w:type="dxa"/>
            <w:tcBorders>
              <w:top w:val="nil"/>
              <w:left w:val="nil"/>
              <w:bottom w:val="nil"/>
              <w:right w:val="nil"/>
            </w:tcBorders>
            <w:noWrap/>
            <w:vAlign w:val="bottom"/>
            <w:hideMark/>
          </w:tcPr>
          <w:p w14:paraId="1C2B00BB"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2500" w:type="dxa"/>
            <w:tcBorders>
              <w:top w:val="nil"/>
              <w:left w:val="nil"/>
              <w:bottom w:val="nil"/>
              <w:right w:val="nil"/>
            </w:tcBorders>
            <w:noWrap/>
            <w:vAlign w:val="bottom"/>
            <w:hideMark/>
          </w:tcPr>
          <w:p w14:paraId="38C7D402" w14:textId="5C5D3E01"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10,880.34</w:t>
            </w:r>
          </w:p>
        </w:tc>
        <w:tc>
          <w:tcPr>
            <w:tcW w:w="2420" w:type="dxa"/>
            <w:tcBorders>
              <w:top w:val="nil"/>
              <w:left w:val="nil"/>
              <w:bottom w:val="nil"/>
              <w:right w:val="nil"/>
            </w:tcBorders>
            <w:noWrap/>
            <w:vAlign w:val="bottom"/>
            <w:hideMark/>
          </w:tcPr>
          <w:p w14:paraId="651D34E7"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2.00%</w:t>
            </w:r>
          </w:p>
        </w:tc>
      </w:tr>
      <w:tr w:rsidR="004F68B3" w:rsidRPr="004F68B3" w14:paraId="2B4CEA55" w14:textId="77777777" w:rsidTr="004F68B3">
        <w:trPr>
          <w:trHeight w:val="288"/>
        </w:trPr>
        <w:tc>
          <w:tcPr>
            <w:tcW w:w="2500" w:type="dxa"/>
            <w:tcBorders>
              <w:top w:val="nil"/>
              <w:left w:val="nil"/>
              <w:bottom w:val="nil"/>
              <w:right w:val="nil"/>
            </w:tcBorders>
            <w:noWrap/>
            <w:vAlign w:val="bottom"/>
            <w:hideMark/>
          </w:tcPr>
          <w:p w14:paraId="4B4C1AA2"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w:t>
            </w:r>
          </w:p>
        </w:tc>
        <w:tc>
          <w:tcPr>
            <w:tcW w:w="2500" w:type="dxa"/>
            <w:tcBorders>
              <w:top w:val="nil"/>
              <w:left w:val="nil"/>
              <w:bottom w:val="nil"/>
              <w:right w:val="nil"/>
            </w:tcBorders>
            <w:noWrap/>
            <w:vAlign w:val="bottom"/>
            <w:hideMark/>
          </w:tcPr>
          <w:p w14:paraId="41A6946A" w14:textId="30FDAA9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11,097.95</w:t>
            </w:r>
          </w:p>
        </w:tc>
        <w:tc>
          <w:tcPr>
            <w:tcW w:w="2420" w:type="dxa"/>
            <w:tcBorders>
              <w:top w:val="nil"/>
              <w:left w:val="nil"/>
              <w:bottom w:val="nil"/>
              <w:right w:val="nil"/>
            </w:tcBorders>
            <w:noWrap/>
            <w:vAlign w:val="bottom"/>
            <w:hideMark/>
          </w:tcPr>
          <w:p w14:paraId="2E987F00"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2.00%</w:t>
            </w:r>
          </w:p>
        </w:tc>
      </w:tr>
      <w:tr w:rsidR="004F68B3" w:rsidRPr="004F68B3" w14:paraId="3D196F15" w14:textId="77777777" w:rsidTr="004F68B3">
        <w:trPr>
          <w:trHeight w:val="288"/>
        </w:trPr>
        <w:tc>
          <w:tcPr>
            <w:tcW w:w="2500" w:type="dxa"/>
            <w:tcBorders>
              <w:top w:val="nil"/>
              <w:left w:val="nil"/>
              <w:bottom w:val="nil"/>
              <w:right w:val="nil"/>
            </w:tcBorders>
            <w:noWrap/>
            <w:vAlign w:val="bottom"/>
            <w:hideMark/>
          </w:tcPr>
          <w:p w14:paraId="40C695B9"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3</w:t>
            </w:r>
          </w:p>
        </w:tc>
        <w:tc>
          <w:tcPr>
            <w:tcW w:w="2500" w:type="dxa"/>
            <w:tcBorders>
              <w:top w:val="nil"/>
              <w:left w:val="nil"/>
              <w:bottom w:val="nil"/>
              <w:right w:val="nil"/>
            </w:tcBorders>
            <w:noWrap/>
            <w:vAlign w:val="bottom"/>
            <w:hideMark/>
          </w:tcPr>
          <w:p w14:paraId="1D6AA1B1" w14:textId="23551E3D"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11,319.91</w:t>
            </w:r>
          </w:p>
        </w:tc>
        <w:tc>
          <w:tcPr>
            <w:tcW w:w="2420" w:type="dxa"/>
            <w:tcBorders>
              <w:top w:val="nil"/>
              <w:left w:val="nil"/>
              <w:bottom w:val="nil"/>
              <w:right w:val="nil"/>
            </w:tcBorders>
            <w:noWrap/>
            <w:vAlign w:val="bottom"/>
            <w:hideMark/>
          </w:tcPr>
          <w:p w14:paraId="1EC9C1B8"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2.00%</w:t>
            </w:r>
          </w:p>
        </w:tc>
      </w:tr>
      <w:tr w:rsidR="004F68B3" w:rsidRPr="004F68B3" w14:paraId="0CE87794" w14:textId="77777777" w:rsidTr="004F68B3">
        <w:trPr>
          <w:trHeight w:val="288"/>
        </w:trPr>
        <w:tc>
          <w:tcPr>
            <w:tcW w:w="2500" w:type="dxa"/>
            <w:tcBorders>
              <w:top w:val="nil"/>
              <w:left w:val="nil"/>
              <w:bottom w:val="nil"/>
              <w:right w:val="nil"/>
            </w:tcBorders>
            <w:noWrap/>
            <w:vAlign w:val="bottom"/>
            <w:hideMark/>
          </w:tcPr>
          <w:p w14:paraId="13C75E29"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p>
        </w:tc>
        <w:tc>
          <w:tcPr>
            <w:tcW w:w="2500" w:type="dxa"/>
            <w:tcBorders>
              <w:top w:val="nil"/>
              <w:left w:val="nil"/>
              <w:bottom w:val="nil"/>
              <w:right w:val="nil"/>
            </w:tcBorders>
            <w:noWrap/>
            <w:vAlign w:val="bottom"/>
            <w:hideMark/>
          </w:tcPr>
          <w:p w14:paraId="62740317" w14:textId="2C42CAFA"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11,546.30</w:t>
            </w:r>
          </w:p>
        </w:tc>
        <w:tc>
          <w:tcPr>
            <w:tcW w:w="2420" w:type="dxa"/>
            <w:tcBorders>
              <w:top w:val="nil"/>
              <w:left w:val="nil"/>
              <w:bottom w:val="nil"/>
              <w:right w:val="nil"/>
            </w:tcBorders>
            <w:noWrap/>
            <w:vAlign w:val="bottom"/>
            <w:hideMark/>
          </w:tcPr>
          <w:p w14:paraId="17A76C0A"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2.00%</w:t>
            </w:r>
          </w:p>
        </w:tc>
      </w:tr>
      <w:tr w:rsidR="004F68B3" w:rsidRPr="004F68B3" w14:paraId="2D4A5941" w14:textId="77777777" w:rsidTr="004F68B3">
        <w:trPr>
          <w:trHeight w:val="288"/>
        </w:trPr>
        <w:tc>
          <w:tcPr>
            <w:tcW w:w="2500" w:type="dxa"/>
            <w:tcBorders>
              <w:top w:val="nil"/>
              <w:left w:val="nil"/>
              <w:bottom w:val="nil"/>
              <w:right w:val="nil"/>
            </w:tcBorders>
            <w:noWrap/>
            <w:vAlign w:val="bottom"/>
            <w:hideMark/>
          </w:tcPr>
          <w:p w14:paraId="4D40283B"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p>
        </w:tc>
        <w:tc>
          <w:tcPr>
            <w:tcW w:w="2500" w:type="dxa"/>
            <w:tcBorders>
              <w:top w:val="nil"/>
              <w:left w:val="nil"/>
              <w:bottom w:val="nil"/>
              <w:right w:val="nil"/>
            </w:tcBorders>
            <w:noWrap/>
            <w:vAlign w:val="bottom"/>
            <w:hideMark/>
          </w:tcPr>
          <w:p w14:paraId="31543381" w14:textId="4E752F8F"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11,777.23</w:t>
            </w:r>
          </w:p>
        </w:tc>
        <w:tc>
          <w:tcPr>
            <w:tcW w:w="2420" w:type="dxa"/>
            <w:tcBorders>
              <w:top w:val="nil"/>
              <w:left w:val="nil"/>
              <w:bottom w:val="nil"/>
              <w:right w:val="nil"/>
            </w:tcBorders>
            <w:noWrap/>
            <w:vAlign w:val="bottom"/>
            <w:hideMark/>
          </w:tcPr>
          <w:p w14:paraId="0648AE10" w14:textId="77777777" w:rsidR="004F68B3" w:rsidRPr="004F68B3" w:rsidRDefault="004F68B3" w:rsidP="004F68B3">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2.00%</w:t>
            </w:r>
          </w:p>
        </w:tc>
      </w:tr>
    </w:tbl>
    <w:p w14:paraId="5EB6304C" w14:textId="77777777" w:rsidR="004F68B3" w:rsidRDefault="004F68B3">
      <w:pPr>
        <w:rPr>
          <w:rFonts w:ascii="Times New Roman" w:hAnsi="Times New Roman" w:cs="Times New Roman"/>
          <w:i/>
          <w:iCs/>
        </w:rPr>
      </w:pPr>
    </w:p>
    <w:p w14:paraId="18DEA148" w14:textId="77777777" w:rsidR="004F68B3" w:rsidRDefault="004F68B3">
      <w:pPr>
        <w:rPr>
          <w:rFonts w:ascii="Times New Roman" w:hAnsi="Times New Roman" w:cs="Times New Roman"/>
          <w:i/>
          <w:iCs/>
        </w:rPr>
      </w:pPr>
      <w:r>
        <w:rPr>
          <w:rFonts w:ascii="Times New Roman" w:hAnsi="Times New Roman" w:cs="Times New Roman"/>
          <w:i/>
          <w:iCs/>
        </w:rPr>
        <w:t>The forecasted Free Cash Flows (FCFs) reflect the cash BP is expected to generate after operating expenses and capital expenditures. Each year’s FCF grows by 2% to account for modest operational growth.</w:t>
      </w:r>
    </w:p>
    <w:p w14:paraId="6021D1C4" w14:textId="77777777" w:rsidR="00B01586" w:rsidRDefault="00B01586">
      <w:pPr>
        <w:rPr>
          <w:rFonts w:ascii="Times New Roman" w:hAnsi="Times New Roman" w:cs="Times New Roman"/>
          <w:i/>
          <w:iCs/>
        </w:rPr>
      </w:pPr>
    </w:p>
    <w:tbl>
      <w:tblPr>
        <w:tblW w:w="5300" w:type="dxa"/>
        <w:tblLook w:val="04A0" w:firstRow="1" w:lastRow="0" w:firstColumn="1" w:lastColumn="0" w:noHBand="0" w:noVBand="1"/>
      </w:tblPr>
      <w:tblGrid>
        <w:gridCol w:w="2860"/>
        <w:gridCol w:w="2440"/>
      </w:tblGrid>
      <w:tr w:rsidR="00B01586" w:rsidRPr="00B01586" w14:paraId="6EAC8FF5" w14:textId="77777777" w:rsidTr="00B01586">
        <w:trPr>
          <w:trHeight w:val="312"/>
        </w:trPr>
        <w:tc>
          <w:tcPr>
            <w:tcW w:w="2860" w:type="dxa"/>
            <w:tcBorders>
              <w:top w:val="nil"/>
              <w:left w:val="nil"/>
              <w:bottom w:val="nil"/>
              <w:right w:val="nil"/>
            </w:tcBorders>
            <w:noWrap/>
            <w:vAlign w:val="bottom"/>
            <w:hideMark/>
          </w:tcPr>
          <w:p w14:paraId="00D8DA1F" w14:textId="77777777" w:rsidR="00B01586" w:rsidRPr="00B01586" w:rsidRDefault="00B01586" w:rsidP="00B01586">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Discount Factors</w:t>
            </w:r>
          </w:p>
        </w:tc>
        <w:tc>
          <w:tcPr>
            <w:tcW w:w="2440" w:type="dxa"/>
            <w:tcBorders>
              <w:top w:val="nil"/>
              <w:left w:val="nil"/>
              <w:bottom w:val="nil"/>
              <w:right w:val="nil"/>
            </w:tcBorders>
            <w:noWrap/>
            <w:vAlign w:val="bottom"/>
            <w:hideMark/>
          </w:tcPr>
          <w:p w14:paraId="1A3497B4" w14:textId="77777777" w:rsidR="00B01586" w:rsidRPr="00B01586" w:rsidRDefault="00B01586" w:rsidP="00B01586">
            <w:pPr>
              <w:spacing w:after="0" w:line="240" w:lineRule="auto"/>
              <w:rPr>
                <w:rFonts w:ascii="Aptos Narrow" w:eastAsia="Times New Roman" w:hAnsi="Aptos Narrow" w:cs="Times New Roman"/>
                <w:b/>
                <w:bCs/>
                <w:color w:val="000000"/>
                <w:kern w:val="0"/>
                <w:lang w:eastAsia="en-GB"/>
                <w14:ligatures w14:val="none"/>
              </w:rPr>
            </w:pPr>
          </w:p>
        </w:tc>
      </w:tr>
      <w:tr w:rsidR="00B01586" w:rsidRPr="00B01586" w14:paraId="31171710" w14:textId="77777777" w:rsidTr="00B01586">
        <w:trPr>
          <w:trHeight w:val="288"/>
        </w:trPr>
        <w:tc>
          <w:tcPr>
            <w:tcW w:w="2860" w:type="dxa"/>
            <w:tcBorders>
              <w:top w:val="nil"/>
              <w:left w:val="nil"/>
              <w:bottom w:val="nil"/>
              <w:right w:val="nil"/>
            </w:tcBorders>
            <w:noWrap/>
            <w:vAlign w:val="bottom"/>
            <w:hideMark/>
          </w:tcPr>
          <w:p w14:paraId="6D1B9EDA" w14:textId="77777777" w:rsidR="00B01586" w:rsidRPr="00B01586" w:rsidRDefault="00B01586" w:rsidP="00B01586">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Year</w:t>
            </w:r>
          </w:p>
        </w:tc>
        <w:tc>
          <w:tcPr>
            <w:tcW w:w="2440" w:type="dxa"/>
            <w:tcBorders>
              <w:top w:val="nil"/>
              <w:left w:val="nil"/>
              <w:bottom w:val="nil"/>
              <w:right w:val="nil"/>
            </w:tcBorders>
            <w:noWrap/>
            <w:vAlign w:val="bottom"/>
            <w:hideMark/>
          </w:tcPr>
          <w:p w14:paraId="57AA088E" w14:textId="77777777" w:rsidR="00B01586" w:rsidRPr="00B01586" w:rsidRDefault="00B01586" w:rsidP="00B01586">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Discount Factor</w:t>
            </w:r>
          </w:p>
        </w:tc>
      </w:tr>
      <w:tr w:rsidR="00B01586" w:rsidRPr="00B01586" w14:paraId="041597A3" w14:textId="77777777" w:rsidTr="00B01586">
        <w:trPr>
          <w:trHeight w:val="288"/>
        </w:trPr>
        <w:tc>
          <w:tcPr>
            <w:tcW w:w="2860" w:type="dxa"/>
            <w:tcBorders>
              <w:top w:val="nil"/>
              <w:left w:val="nil"/>
              <w:bottom w:val="nil"/>
              <w:right w:val="nil"/>
            </w:tcBorders>
            <w:noWrap/>
            <w:vAlign w:val="bottom"/>
            <w:hideMark/>
          </w:tcPr>
          <w:p w14:paraId="5DDC94BB"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2440" w:type="dxa"/>
            <w:tcBorders>
              <w:top w:val="nil"/>
              <w:left w:val="nil"/>
              <w:bottom w:val="nil"/>
              <w:right w:val="nil"/>
            </w:tcBorders>
            <w:noWrap/>
            <w:vAlign w:val="bottom"/>
            <w:hideMark/>
          </w:tcPr>
          <w:p w14:paraId="7242B48E"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0.925925926</w:t>
            </w:r>
          </w:p>
        </w:tc>
      </w:tr>
      <w:tr w:rsidR="00B01586" w:rsidRPr="00B01586" w14:paraId="4DA9F3C8" w14:textId="77777777" w:rsidTr="00B01586">
        <w:trPr>
          <w:trHeight w:val="288"/>
        </w:trPr>
        <w:tc>
          <w:tcPr>
            <w:tcW w:w="2860" w:type="dxa"/>
            <w:tcBorders>
              <w:top w:val="nil"/>
              <w:left w:val="nil"/>
              <w:bottom w:val="nil"/>
              <w:right w:val="nil"/>
            </w:tcBorders>
            <w:noWrap/>
            <w:vAlign w:val="bottom"/>
            <w:hideMark/>
          </w:tcPr>
          <w:p w14:paraId="4B66F8FE"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w:t>
            </w:r>
          </w:p>
        </w:tc>
        <w:tc>
          <w:tcPr>
            <w:tcW w:w="2440" w:type="dxa"/>
            <w:tcBorders>
              <w:top w:val="nil"/>
              <w:left w:val="nil"/>
              <w:bottom w:val="nil"/>
              <w:right w:val="nil"/>
            </w:tcBorders>
            <w:noWrap/>
            <w:vAlign w:val="bottom"/>
            <w:hideMark/>
          </w:tcPr>
          <w:p w14:paraId="486B0BA1"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0.85733882</w:t>
            </w:r>
          </w:p>
        </w:tc>
      </w:tr>
      <w:tr w:rsidR="00B01586" w:rsidRPr="00B01586" w14:paraId="21758B3D" w14:textId="77777777" w:rsidTr="00B01586">
        <w:trPr>
          <w:trHeight w:val="288"/>
        </w:trPr>
        <w:tc>
          <w:tcPr>
            <w:tcW w:w="2860" w:type="dxa"/>
            <w:tcBorders>
              <w:top w:val="nil"/>
              <w:left w:val="nil"/>
              <w:bottom w:val="nil"/>
              <w:right w:val="nil"/>
            </w:tcBorders>
            <w:noWrap/>
            <w:vAlign w:val="bottom"/>
            <w:hideMark/>
          </w:tcPr>
          <w:p w14:paraId="0BFA26C3"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3</w:t>
            </w:r>
          </w:p>
        </w:tc>
        <w:tc>
          <w:tcPr>
            <w:tcW w:w="2440" w:type="dxa"/>
            <w:tcBorders>
              <w:top w:val="nil"/>
              <w:left w:val="nil"/>
              <w:bottom w:val="nil"/>
              <w:right w:val="nil"/>
            </w:tcBorders>
            <w:noWrap/>
            <w:vAlign w:val="bottom"/>
            <w:hideMark/>
          </w:tcPr>
          <w:p w14:paraId="16ADB7EC"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0.793832241</w:t>
            </w:r>
          </w:p>
        </w:tc>
      </w:tr>
      <w:tr w:rsidR="00B01586" w:rsidRPr="00B01586" w14:paraId="40A51605" w14:textId="77777777" w:rsidTr="00B01586">
        <w:trPr>
          <w:trHeight w:val="288"/>
        </w:trPr>
        <w:tc>
          <w:tcPr>
            <w:tcW w:w="2860" w:type="dxa"/>
            <w:tcBorders>
              <w:top w:val="nil"/>
              <w:left w:val="nil"/>
              <w:bottom w:val="nil"/>
              <w:right w:val="nil"/>
            </w:tcBorders>
            <w:noWrap/>
            <w:vAlign w:val="bottom"/>
            <w:hideMark/>
          </w:tcPr>
          <w:p w14:paraId="356B66F9"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p>
        </w:tc>
        <w:tc>
          <w:tcPr>
            <w:tcW w:w="2440" w:type="dxa"/>
            <w:tcBorders>
              <w:top w:val="nil"/>
              <w:left w:val="nil"/>
              <w:bottom w:val="nil"/>
              <w:right w:val="nil"/>
            </w:tcBorders>
            <w:noWrap/>
            <w:vAlign w:val="bottom"/>
            <w:hideMark/>
          </w:tcPr>
          <w:p w14:paraId="745A20B1"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0.735029853</w:t>
            </w:r>
          </w:p>
        </w:tc>
      </w:tr>
      <w:tr w:rsidR="00B01586" w:rsidRPr="00B01586" w14:paraId="00804168" w14:textId="77777777" w:rsidTr="00B01586">
        <w:trPr>
          <w:trHeight w:val="288"/>
        </w:trPr>
        <w:tc>
          <w:tcPr>
            <w:tcW w:w="2860" w:type="dxa"/>
            <w:tcBorders>
              <w:top w:val="nil"/>
              <w:left w:val="nil"/>
              <w:bottom w:val="nil"/>
              <w:right w:val="nil"/>
            </w:tcBorders>
            <w:noWrap/>
            <w:vAlign w:val="bottom"/>
            <w:hideMark/>
          </w:tcPr>
          <w:p w14:paraId="184A9111"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p>
        </w:tc>
        <w:tc>
          <w:tcPr>
            <w:tcW w:w="2440" w:type="dxa"/>
            <w:tcBorders>
              <w:top w:val="nil"/>
              <w:left w:val="nil"/>
              <w:bottom w:val="nil"/>
              <w:right w:val="nil"/>
            </w:tcBorders>
            <w:noWrap/>
            <w:vAlign w:val="bottom"/>
            <w:hideMark/>
          </w:tcPr>
          <w:p w14:paraId="7FABE515"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0.680583197</w:t>
            </w:r>
          </w:p>
        </w:tc>
      </w:tr>
    </w:tbl>
    <w:p w14:paraId="08C890F4" w14:textId="77777777" w:rsidR="00B01586" w:rsidRPr="00B01586" w:rsidRDefault="00B01586">
      <w:pPr>
        <w:rPr>
          <w:rFonts w:ascii="Times New Roman" w:hAnsi="Times New Roman" w:cs="Times New Roman"/>
        </w:rPr>
      </w:pPr>
    </w:p>
    <w:tbl>
      <w:tblPr>
        <w:tblpPr w:leftFromText="180" w:rightFromText="180" w:vertAnchor="page" w:horzAnchor="margin" w:tblpY="2611"/>
        <w:tblW w:w="9560" w:type="dxa"/>
        <w:tblLook w:val="04A0" w:firstRow="1" w:lastRow="0" w:firstColumn="1" w:lastColumn="0" w:noHBand="0" w:noVBand="1"/>
      </w:tblPr>
      <w:tblGrid>
        <w:gridCol w:w="2860"/>
        <w:gridCol w:w="2440"/>
        <w:gridCol w:w="2520"/>
        <w:gridCol w:w="1740"/>
      </w:tblGrid>
      <w:tr w:rsidR="00B01586" w:rsidRPr="00B01586" w14:paraId="02BA5E57" w14:textId="77777777" w:rsidTr="00B01586">
        <w:trPr>
          <w:trHeight w:val="312"/>
        </w:trPr>
        <w:tc>
          <w:tcPr>
            <w:tcW w:w="2860" w:type="dxa"/>
            <w:tcBorders>
              <w:top w:val="nil"/>
              <w:left w:val="nil"/>
              <w:bottom w:val="nil"/>
              <w:right w:val="nil"/>
            </w:tcBorders>
            <w:noWrap/>
            <w:vAlign w:val="bottom"/>
            <w:hideMark/>
          </w:tcPr>
          <w:p w14:paraId="00F8A271" w14:textId="77777777" w:rsidR="00B01586" w:rsidRDefault="00B01586" w:rsidP="00B01586">
            <w:pPr>
              <w:spacing w:after="0" w:line="240" w:lineRule="auto"/>
              <w:rPr>
                <w:rFonts w:ascii="Aptos Narrow" w:eastAsia="Times New Roman" w:hAnsi="Aptos Narrow" w:cs="Times New Roman"/>
                <w:b/>
                <w:bCs/>
                <w:color w:val="000000"/>
                <w:kern w:val="0"/>
                <w:lang w:eastAsia="en-GB"/>
                <w14:ligatures w14:val="none"/>
              </w:rPr>
            </w:pPr>
          </w:p>
          <w:p w14:paraId="088EDD94" w14:textId="77777777" w:rsidR="00B01586" w:rsidRDefault="00B01586" w:rsidP="00B01586">
            <w:pPr>
              <w:spacing w:after="0" w:line="240" w:lineRule="auto"/>
              <w:rPr>
                <w:rFonts w:ascii="Aptos Narrow" w:eastAsia="Times New Roman" w:hAnsi="Aptos Narrow" w:cs="Times New Roman"/>
                <w:b/>
                <w:bCs/>
                <w:color w:val="000000"/>
                <w:kern w:val="0"/>
                <w:lang w:eastAsia="en-GB"/>
                <w14:ligatures w14:val="none"/>
              </w:rPr>
            </w:pPr>
          </w:p>
          <w:p w14:paraId="604F6F28" w14:textId="4B3EE6A6" w:rsidR="00B01586" w:rsidRPr="00B01586" w:rsidRDefault="00B01586" w:rsidP="00B01586">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 xml:space="preserve">Present Value of Forecast FCF</w:t>
            </w:r>
          </w:p>
        </w:tc>
        <w:tc>
          <w:tcPr>
            <w:tcW w:w="2440" w:type="dxa"/>
            <w:tcBorders>
              <w:top w:val="nil"/>
              <w:left w:val="nil"/>
              <w:bottom w:val="nil"/>
              <w:right w:val="nil"/>
            </w:tcBorders>
            <w:noWrap/>
            <w:vAlign w:val="bottom"/>
            <w:hideMark/>
          </w:tcPr>
          <w:p w14:paraId="62683DCD" w14:textId="77777777" w:rsidR="00B01586" w:rsidRPr="00B01586" w:rsidRDefault="00B01586" w:rsidP="00B01586">
            <w:pPr>
              <w:spacing w:after="0" w:line="240" w:lineRule="auto"/>
              <w:rPr>
                <w:rFonts w:ascii="Aptos Narrow" w:eastAsia="Times New Roman" w:hAnsi="Aptos Narrow" w:cs="Times New Roman"/>
                <w:b/>
                <w:bCs/>
                <w:color w:val="000000"/>
                <w:kern w:val="0"/>
                <w:lang w:eastAsia="en-GB"/>
                <w14:ligatures w14:val="none"/>
              </w:rPr>
            </w:pPr>
          </w:p>
        </w:tc>
        <w:tc>
          <w:tcPr>
            <w:tcW w:w="2520" w:type="dxa"/>
            <w:tcBorders>
              <w:top w:val="nil"/>
              <w:left w:val="nil"/>
              <w:bottom w:val="nil"/>
              <w:right w:val="nil"/>
            </w:tcBorders>
            <w:noWrap/>
            <w:vAlign w:val="bottom"/>
            <w:hideMark/>
          </w:tcPr>
          <w:p w14:paraId="5417CD5E" w14:textId="77777777" w:rsidR="00B01586" w:rsidRPr="00B01586" w:rsidRDefault="00B01586" w:rsidP="00B01586">
            <w:pPr>
              <w:spacing w:after="0" w:line="240" w:lineRule="auto"/>
              <w:rPr>
                <w:rFonts w:ascii="Times New Roman" w:eastAsia="Times New Roman" w:hAnsi="Times New Roman" w:cs="Times New Roman"/>
                <w:kern w:val="0"/>
                <w:sz w:val="20"/>
                <w:szCs w:val="20"/>
                <w:lang w:eastAsia="en-GB"/>
                <w14:ligatures w14:val="none"/>
              </w:rPr>
            </w:pPr>
          </w:p>
        </w:tc>
        <w:tc>
          <w:tcPr>
            <w:tcW w:w="1740" w:type="dxa"/>
            <w:tcBorders>
              <w:top w:val="nil"/>
              <w:left w:val="nil"/>
              <w:bottom w:val="nil"/>
              <w:right w:val="nil"/>
            </w:tcBorders>
            <w:noWrap/>
            <w:vAlign w:val="bottom"/>
            <w:hideMark/>
          </w:tcPr>
          <w:p w14:paraId="302E7E91" w14:textId="77777777" w:rsidR="00B01586" w:rsidRPr="00B01586" w:rsidRDefault="00B01586" w:rsidP="00B01586">
            <w:pPr>
              <w:spacing w:after="0" w:line="240" w:lineRule="auto"/>
              <w:rPr>
                <w:rFonts w:ascii="Times New Roman" w:eastAsia="Times New Roman" w:hAnsi="Times New Roman" w:cs="Times New Roman"/>
                <w:kern w:val="0"/>
                <w:sz w:val="20"/>
                <w:szCs w:val="20"/>
                <w:lang w:eastAsia="en-GB"/>
                <w14:ligatures w14:val="none"/>
              </w:rPr>
            </w:pPr>
          </w:p>
        </w:tc>
      </w:tr>
      <w:tr w:rsidR="00B01586" w:rsidRPr="00B01586" w14:paraId="72E301F1" w14:textId="77777777" w:rsidTr="00B01586">
        <w:trPr>
          <w:trHeight w:val="288"/>
        </w:trPr>
        <w:tc>
          <w:tcPr>
            <w:tcW w:w="2860" w:type="dxa"/>
            <w:tcBorders>
              <w:top w:val="nil"/>
              <w:left w:val="nil"/>
              <w:bottom w:val="nil"/>
              <w:right w:val="nil"/>
            </w:tcBorders>
            <w:noWrap/>
            <w:vAlign w:val="bottom"/>
            <w:hideMark/>
          </w:tcPr>
          <w:p w14:paraId="42C1E508" w14:textId="77777777" w:rsidR="00B01586" w:rsidRPr="00B01586" w:rsidRDefault="00B01586" w:rsidP="00B01586">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Year</w:t>
            </w:r>
          </w:p>
        </w:tc>
        <w:tc>
          <w:tcPr>
            <w:tcW w:w="2440" w:type="dxa"/>
            <w:tcBorders>
              <w:top w:val="nil"/>
              <w:left w:val="nil"/>
              <w:bottom w:val="nil"/>
              <w:right w:val="nil"/>
            </w:tcBorders>
            <w:noWrap/>
            <w:vAlign w:val="bottom"/>
            <w:hideMark/>
          </w:tcPr>
          <w:p w14:paraId="237C2AF1" w14:textId="77777777" w:rsidR="00B01586" w:rsidRPr="00B01586" w:rsidRDefault="00B01586" w:rsidP="00B01586">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FCF (£m)</w:t>
            </w:r>
          </w:p>
        </w:tc>
        <w:tc>
          <w:tcPr>
            <w:tcW w:w="2520" w:type="dxa"/>
            <w:tcBorders>
              <w:top w:val="nil"/>
              <w:left w:val="nil"/>
              <w:bottom w:val="nil"/>
              <w:right w:val="nil"/>
            </w:tcBorders>
            <w:noWrap/>
            <w:vAlign w:val="bottom"/>
            <w:hideMark/>
          </w:tcPr>
          <w:p w14:paraId="6D883185" w14:textId="77777777" w:rsidR="00B01586" w:rsidRPr="00B01586" w:rsidRDefault="00B01586" w:rsidP="00B01586">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Discount Factor</w:t>
            </w:r>
          </w:p>
        </w:tc>
        <w:tc>
          <w:tcPr>
            <w:tcW w:w="1740" w:type="dxa"/>
            <w:tcBorders>
              <w:top w:val="nil"/>
              <w:left w:val="nil"/>
              <w:bottom w:val="nil"/>
              <w:right w:val="nil"/>
            </w:tcBorders>
            <w:noWrap/>
            <w:vAlign w:val="bottom"/>
            <w:hideMark/>
          </w:tcPr>
          <w:p w14:paraId="1CE0B095" w14:textId="77777777" w:rsidR="00B01586" w:rsidRPr="00B01586" w:rsidRDefault="00B01586" w:rsidP="00B01586">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PV (£m)</w:t>
            </w:r>
          </w:p>
        </w:tc>
      </w:tr>
      <w:tr w:rsidR="00B01586" w:rsidRPr="00B01586" w14:paraId="14CB1498" w14:textId="77777777" w:rsidTr="00B01586">
        <w:trPr>
          <w:trHeight w:val="288"/>
        </w:trPr>
        <w:tc>
          <w:tcPr>
            <w:tcW w:w="2860" w:type="dxa"/>
            <w:tcBorders>
              <w:top w:val="nil"/>
              <w:left w:val="nil"/>
              <w:bottom w:val="nil"/>
              <w:right w:val="nil"/>
            </w:tcBorders>
            <w:noWrap/>
            <w:vAlign w:val="bottom"/>
            <w:hideMark/>
          </w:tcPr>
          <w:p w14:paraId="09CE7523"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2440" w:type="dxa"/>
            <w:tcBorders>
              <w:top w:val="nil"/>
              <w:left w:val="nil"/>
              <w:bottom w:val="nil"/>
              <w:right w:val="nil"/>
            </w:tcBorders>
            <w:noWrap/>
            <w:vAlign w:val="bottom"/>
            <w:hideMark/>
          </w:tcPr>
          <w:p w14:paraId="5070797C" w14:textId="00AE5AB8"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10,880.34</w:t>
            </w:r>
          </w:p>
        </w:tc>
        <w:tc>
          <w:tcPr>
            <w:tcW w:w="2520" w:type="dxa"/>
            <w:tcBorders>
              <w:top w:val="nil"/>
              <w:left w:val="nil"/>
              <w:bottom w:val="nil"/>
              <w:right w:val="nil"/>
            </w:tcBorders>
            <w:noWrap/>
            <w:vAlign w:val="bottom"/>
            <w:hideMark/>
          </w:tcPr>
          <w:p w14:paraId="05F1659D"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0.925925926</w:t>
            </w:r>
          </w:p>
        </w:tc>
        <w:tc>
          <w:tcPr>
            <w:tcW w:w="1740" w:type="dxa"/>
            <w:tcBorders>
              <w:top w:val="nil"/>
              <w:left w:val="nil"/>
              <w:bottom w:val="nil"/>
              <w:right w:val="nil"/>
            </w:tcBorders>
            <w:noWrap/>
            <w:vAlign w:val="bottom"/>
            <w:hideMark/>
          </w:tcPr>
          <w:p w14:paraId="18D3EA2A" w14:textId="419C0BC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10,074.39</w:t>
            </w:r>
          </w:p>
        </w:tc>
      </w:tr>
      <w:tr w:rsidR="00B01586" w:rsidRPr="00B01586" w14:paraId="5F78F542" w14:textId="77777777" w:rsidTr="00B01586">
        <w:trPr>
          <w:trHeight w:val="288"/>
        </w:trPr>
        <w:tc>
          <w:tcPr>
            <w:tcW w:w="2860" w:type="dxa"/>
            <w:tcBorders>
              <w:top w:val="nil"/>
              <w:left w:val="nil"/>
              <w:bottom w:val="nil"/>
              <w:right w:val="nil"/>
            </w:tcBorders>
            <w:noWrap/>
            <w:vAlign w:val="bottom"/>
            <w:hideMark/>
          </w:tcPr>
          <w:p w14:paraId="4DE1BBB2"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w:t>
            </w:r>
          </w:p>
        </w:tc>
        <w:tc>
          <w:tcPr>
            <w:tcW w:w="2440" w:type="dxa"/>
            <w:tcBorders>
              <w:top w:val="nil"/>
              <w:left w:val="nil"/>
              <w:bottom w:val="nil"/>
              <w:right w:val="nil"/>
            </w:tcBorders>
            <w:noWrap/>
            <w:vAlign w:val="bottom"/>
            <w:hideMark/>
          </w:tcPr>
          <w:p w14:paraId="67EA8982" w14:textId="286D6061"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11,097.95</w:t>
            </w:r>
          </w:p>
        </w:tc>
        <w:tc>
          <w:tcPr>
            <w:tcW w:w="2520" w:type="dxa"/>
            <w:tcBorders>
              <w:top w:val="nil"/>
              <w:left w:val="nil"/>
              <w:bottom w:val="nil"/>
              <w:right w:val="nil"/>
            </w:tcBorders>
            <w:noWrap/>
            <w:vAlign w:val="bottom"/>
            <w:hideMark/>
          </w:tcPr>
          <w:p w14:paraId="2BAA2502"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0.85733882</w:t>
            </w:r>
          </w:p>
        </w:tc>
        <w:tc>
          <w:tcPr>
            <w:tcW w:w="1740" w:type="dxa"/>
            <w:tcBorders>
              <w:top w:val="nil"/>
              <w:left w:val="nil"/>
              <w:bottom w:val="nil"/>
              <w:right w:val="nil"/>
            </w:tcBorders>
            <w:noWrap/>
            <w:vAlign w:val="bottom"/>
            <w:hideMark/>
          </w:tcPr>
          <w:p w14:paraId="395A7CF7" w14:textId="38964D5D"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9,514.70</w:t>
            </w:r>
          </w:p>
        </w:tc>
      </w:tr>
      <w:tr w:rsidR="00B01586" w:rsidRPr="00B01586" w14:paraId="7D602E92" w14:textId="77777777" w:rsidTr="00B01586">
        <w:trPr>
          <w:trHeight w:val="288"/>
        </w:trPr>
        <w:tc>
          <w:tcPr>
            <w:tcW w:w="2860" w:type="dxa"/>
            <w:tcBorders>
              <w:top w:val="nil"/>
              <w:left w:val="nil"/>
              <w:bottom w:val="nil"/>
              <w:right w:val="nil"/>
            </w:tcBorders>
            <w:noWrap/>
            <w:vAlign w:val="bottom"/>
            <w:hideMark/>
          </w:tcPr>
          <w:p w14:paraId="3E65C389"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3</w:t>
            </w:r>
          </w:p>
        </w:tc>
        <w:tc>
          <w:tcPr>
            <w:tcW w:w="2440" w:type="dxa"/>
            <w:tcBorders>
              <w:top w:val="nil"/>
              <w:left w:val="nil"/>
              <w:bottom w:val="nil"/>
              <w:right w:val="nil"/>
            </w:tcBorders>
            <w:noWrap/>
            <w:vAlign w:val="bottom"/>
            <w:hideMark/>
          </w:tcPr>
          <w:p w14:paraId="610B4173" w14:textId="03A69C30"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11,319.91</w:t>
            </w:r>
          </w:p>
        </w:tc>
        <w:tc>
          <w:tcPr>
            <w:tcW w:w="2520" w:type="dxa"/>
            <w:tcBorders>
              <w:top w:val="nil"/>
              <w:left w:val="nil"/>
              <w:bottom w:val="nil"/>
              <w:right w:val="nil"/>
            </w:tcBorders>
            <w:noWrap/>
            <w:vAlign w:val="bottom"/>
            <w:hideMark/>
          </w:tcPr>
          <w:p w14:paraId="07DABB16"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0.793832241</w:t>
            </w:r>
          </w:p>
        </w:tc>
        <w:tc>
          <w:tcPr>
            <w:tcW w:w="1740" w:type="dxa"/>
            <w:tcBorders>
              <w:top w:val="nil"/>
              <w:left w:val="nil"/>
              <w:bottom w:val="nil"/>
              <w:right w:val="nil"/>
            </w:tcBorders>
            <w:noWrap/>
            <w:vAlign w:val="bottom"/>
            <w:hideMark/>
          </w:tcPr>
          <w:p w14:paraId="6D47FA74" w14:textId="6B52CAA4"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8,986.11</w:t>
            </w:r>
          </w:p>
        </w:tc>
      </w:tr>
      <w:tr w:rsidR="00B01586" w:rsidRPr="00B01586" w14:paraId="39BF5382" w14:textId="77777777" w:rsidTr="00B01586">
        <w:trPr>
          <w:trHeight w:val="288"/>
        </w:trPr>
        <w:tc>
          <w:tcPr>
            <w:tcW w:w="2860" w:type="dxa"/>
            <w:tcBorders>
              <w:top w:val="nil"/>
              <w:left w:val="nil"/>
              <w:bottom w:val="nil"/>
              <w:right w:val="nil"/>
            </w:tcBorders>
            <w:noWrap/>
            <w:vAlign w:val="bottom"/>
            <w:hideMark/>
          </w:tcPr>
          <w:p w14:paraId="6DE78FBF"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p>
        </w:tc>
        <w:tc>
          <w:tcPr>
            <w:tcW w:w="2440" w:type="dxa"/>
            <w:tcBorders>
              <w:top w:val="nil"/>
              <w:left w:val="nil"/>
              <w:bottom w:val="nil"/>
              <w:right w:val="nil"/>
            </w:tcBorders>
            <w:noWrap/>
            <w:vAlign w:val="bottom"/>
            <w:hideMark/>
          </w:tcPr>
          <w:p w14:paraId="67828433" w14:textId="294F4665"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11,546.30</w:t>
            </w:r>
          </w:p>
        </w:tc>
        <w:tc>
          <w:tcPr>
            <w:tcW w:w="2520" w:type="dxa"/>
            <w:tcBorders>
              <w:top w:val="nil"/>
              <w:left w:val="nil"/>
              <w:bottom w:val="nil"/>
              <w:right w:val="nil"/>
            </w:tcBorders>
            <w:noWrap/>
            <w:vAlign w:val="bottom"/>
            <w:hideMark/>
          </w:tcPr>
          <w:p w14:paraId="15169570"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0.735029853</w:t>
            </w:r>
          </w:p>
        </w:tc>
        <w:tc>
          <w:tcPr>
            <w:tcW w:w="1740" w:type="dxa"/>
            <w:tcBorders>
              <w:top w:val="nil"/>
              <w:left w:val="nil"/>
              <w:bottom w:val="nil"/>
              <w:right w:val="nil"/>
            </w:tcBorders>
            <w:noWrap/>
            <w:vAlign w:val="bottom"/>
            <w:hideMark/>
          </w:tcPr>
          <w:p w14:paraId="1E6F954C" w14:textId="35A0F768"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8,486.88</w:t>
            </w:r>
          </w:p>
        </w:tc>
      </w:tr>
      <w:tr w:rsidR="00B01586" w:rsidRPr="00B01586" w14:paraId="66011B05" w14:textId="77777777" w:rsidTr="00B01586">
        <w:trPr>
          <w:trHeight w:val="288"/>
        </w:trPr>
        <w:tc>
          <w:tcPr>
            <w:tcW w:w="2860" w:type="dxa"/>
            <w:tcBorders>
              <w:top w:val="nil"/>
              <w:left w:val="nil"/>
              <w:bottom w:val="nil"/>
              <w:right w:val="nil"/>
            </w:tcBorders>
            <w:noWrap/>
            <w:vAlign w:val="bottom"/>
            <w:hideMark/>
          </w:tcPr>
          <w:p w14:paraId="7BF38654"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p>
        </w:tc>
        <w:tc>
          <w:tcPr>
            <w:tcW w:w="2440" w:type="dxa"/>
            <w:tcBorders>
              <w:top w:val="nil"/>
              <w:left w:val="nil"/>
              <w:bottom w:val="nil"/>
              <w:right w:val="nil"/>
            </w:tcBorders>
            <w:noWrap/>
            <w:vAlign w:val="bottom"/>
            <w:hideMark/>
          </w:tcPr>
          <w:p w14:paraId="48753821" w14:textId="1B72522B"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11,777.23</w:t>
            </w:r>
          </w:p>
        </w:tc>
        <w:tc>
          <w:tcPr>
            <w:tcW w:w="2520" w:type="dxa"/>
            <w:tcBorders>
              <w:top w:val="nil"/>
              <w:left w:val="nil"/>
              <w:bottom w:val="nil"/>
              <w:right w:val="nil"/>
            </w:tcBorders>
            <w:noWrap/>
            <w:vAlign w:val="bottom"/>
            <w:hideMark/>
          </w:tcPr>
          <w:p w14:paraId="53F72E51" w14:textId="77777777"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0.680583197</w:t>
            </w:r>
          </w:p>
        </w:tc>
        <w:tc>
          <w:tcPr>
            <w:tcW w:w="1740" w:type="dxa"/>
            <w:tcBorders>
              <w:top w:val="nil"/>
              <w:left w:val="nil"/>
              <w:bottom w:val="nil"/>
              <w:right w:val="nil"/>
            </w:tcBorders>
            <w:noWrap/>
            <w:vAlign w:val="bottom"/>
            <w:hideMark/>
          </w:tcPr>
          <w:p w14:paraId="4CB8BB95" w14:textId="6503C636" w:rsidR="00B01586" w:rsidRPr="00B01586" w:rsidRDefault="00B01586" w:rsidP="00B01586">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8,015.38</w:t>
            </w:r>
          </w:p>
        </w:tc>
      </w:tr>
    </w:tbl>
    <w:p w14:paraId="391C82CD" w14:textId="1E4AA67F" w:rsidR="004F68B3" w:rsidRDefault="00B01586" w:rsidP="00B01586">
      <w:pPr>
        <w:pBdr>
          <w:bottom w:val="single" w:sz="12" w:space="1" w:color="auto"/>
        </w:pBdr>
        <w:rPr>
          <w:rFonts w:ascii="Times New Roman" w:hAnsi="Times New Roman" w:cs="Times New Roman"/>
          <w:i/>
          <w:iCs/>
        </w:rPr>
      </w:pPr>
      <w:r>
        <w:rPr>
          <w:rFonts w:ascii="Times New Roman" w:hAnsi="Times New Roman" w:cs="Times New Roman"/>
          <w:i/>
          <w:iCs/>
        </w:rPr>
        <w:t>The discount factor accounts for the time value of money – future cash flows are worth less as £1 today is more valuable than £1 in the future.</w:t>
      </w:r>
    </w:p>
    <w:p w14:paraId="6B949253" w14:textId="77777777" w:rsidR="00B01586" w:rsidRDefault="00B01586" w:rsidP="00B01586">
      <w:pPr>
        <w:pBdr>
          <w:bottom w:val="single" w:sz="12" w:space="1" w:color="auto"/>
        </w:pBdr>
        <w:rPr>
          <w:rFonts w:ascii="Times New Roman" w:hAnsi="Times New Roman" w:cs="Times New Roman"/>
          <w:i/>
          <w:iCs/>
        </w:rPr>
      </w:pPr>
    </w:p>
    <w:p w14:paraId="54D19102" w14:textId="098EA8BF" w:rsidR="00B01586" w:rsidRDefault="00B01586" w:rsidP="00B01586">
      <w:pPr>
        <w:pBdr>
          <w:bottom w:val="single" w:sz="12" w:space="1" w:color="auto"/>
        </w:pBdr>
        <w:rPr>
          <w:rFonts w:ascii="Times New Roman" w:hAnsi="Times New Roman" w:cs="Times New Roman"/>
          <w:i/>
          <w:iCs/>
        </w:rPr>
      </w:pPr>
      <w:r>
        <w:rPr>
          <w:rFonts w:ascii="Times New Roman" w:hAnsi="Times New Roman" w:cs="Times New Roman"/>
          <w:i/>
          <w:iCs/>
        </w:rPr>
        <w:t xml:space="preserve">Each year’s cash flow is multiplied by its discount factor to obtain its present value. The sum of all these gives the PV of all forecasted FCFs.</w:t>
      </w:r>
    </w:p>
    <w:p w14:paraId="3F4A5C1C" w14:textId="77777777" w:rsidR="0080138F" w:rsidRDefault="0080138F" w:rsidP="00B01586">
      <w:pPr>
        <w:pBdr>
          <w:bottom w:val="single" w:sz="12" w:space="1" w:color="auto"/>
        </w:pBdr>
        <w:rPr>
          <w:rFonts w:ascii="Times New Roman" w:hAnsi="Times New Roman" w:cs="Times New Roman"/>
          <w:i/>
          <w:iCs/>
        </w:rPr>
      </w:pPr>
    </w:p>
    <w:p w14:paraId="4632E449" w14:textId="77777777" w:rsidR="0080138F" w:rsidRDefault="0080138F" w:rsidP="00B01586">
      <w:pPr>
        <w:pBdr>
          <w:bottom w:val="single" w:sz="12" w:space="1" w:color="auto"/>
        </w:pBdr>
        <w:rPr>
          <w:rFonts w:ascii="Times New Roman" w:hAnsi="Times New Roman" w:cs="Times New Roman"/>
          <w:i/>
          <w:iCs/>
        </w:rPr>
      </w:pPr>
    </w:p>
    <w:p w14:paraId="46910644" w14:textId="44572CE4" w:rsidR="0080138F" w:rsidRDefault="0080138F" w:rsidP="00B01586">
      <w:pPr>
        <w:rPr>
          <w:rFonts w:ascii="Times New Roman" w:hAnsi="Times New Roman" w:cs="Times New Roman"/>
          <w:b/>
          <w:bCs/>
        </w:rPr>
      </w:pPr>
      <w:r>
        <w:rPr>
          <w:rFonts w:ascii="Times New Roman" w:hAnsi="Times New Roman" w:cs="Times New Roman"/>
          <w:b/>
          <w:bCs/>
        </w:rPr>
        <w:t>3. Terminal Value &amp; Enterprise Value</w:t>
      </w:r>
    </w:p>
    <w:p w14:paraId="4C1704EF" w14:textId="77777777" w:rsidR="0080138F" w:rsidRDefault="0080138F" w:rsidP="00B01586">
      <w:pPr>
        <w:rPr>
          <w:rFonts w:ascii="Times New Roman" w:hAnsi="Times New Roman" w:cs="Times New Roman"/>
          <w:b/>
          <w:bCs/>
        </w:rPr>
      </w:pPr>
    </w:p>
    <w:p w14:paraId="6C6F78EE" w14:textId="0C9294AD" w:rsidR="0080138F" w:rsidRDefault="0080138F" w:rsidP="00B01586">
      <w:pPr>
        <w:rPr>
          <w:rFonts w:ascii="Times New Roman" w:hAnsi="Times New Roman" w:cs="Times New Roman"/>
        </w:rPr>
      </w:pPr>
      <w:r>
        <w:rPr>
          <w:rFonts w:ascii="Times New Roman" w:hAnsi="Times New Roman" w:cs="Times New Roman"/>
          <w:b/>
          <w:bCs/>
        </w:rPr>
        <w:t xml:space="preserve">Terminal Value (TV): </w:t>
      </w:r>
      <w:r>
        <w:rPr>
          <w:rFonts w:ascii="Times New Roman" w:hAnsi="Times New Roman" w:cs="Times New Roman"/>
        </w:rPr>
        <w:t>£183,905.98m</w:t>
      </w:r>
    </w:p>
    <w:p w14:paraId="38C82F76" w14:textId="0577B070" w:rsidR="0080138F" w:rsidRDefault="0080138F" w:rsidP="00B01586">
      <w:pPr>
        <w:rPr>
          <w:rFonts w:ascii="Times New Roman" w:hAnsi="Times New Roman" w:cs="Times New Roman"/>
          <w:i/>
          <w:iCs/>
        </w:rPr>
      </w:pPr>
      <w:r>
        <w:rPr>
          <w:rFonts w:ascii="Times New Roman" w:hAnsi="Times New Roman" w:cs="Times New Roman"/>
          <w:i/>
          <w:iCs/>
        </w:rPr>
        <w:t xml:space="preserve">This represents the value of all cash flows beyond year 5, under the assumption that there will be a perpetual growth rate of 1.5%. It is discounted back to present value using the same discount rate as before. </w:t>
      </w:r>
    </w:p>
    <w:p w14:paraId="63D4B872" w14:textId="77777777" w:rsidR="0080138F" w:rsidRDefault="0080138F" w:rsidP="00B01586">
      <w:pPr>
        <w:rPr>
          <w:rFonts w:ascii="Times New Roman" w:hAnsi="Times New Roman" w:cs="Times New Roman"/>
          <w:i/>
          <w:iCs/>
        </w:rPr>
      </w:pPr>
    </w:p>
    <w:tbl>
      <w:tblPr>
        <w:tblW w:w="5300" w:type="dxa"/>
        <w:tblLook w:val="04A0" w:firstRow="1" w:lastRow="0" w:firstColumn="1" w:lastColumn="0" w:noHBand="0" w:noVBand="1"/>
      </w:tblPr>
      <w:tblGrid>
        <w:gridCol w:w="2860"/>
        <w:gridCol w:w="2440"/>
      </w:tblGrid>
      <w:tr w:rsidR="0080138F" w:rsidRPr="0080138F" w14:paraId="5CDBE3F5" w14:textId="77777777" w:rsidTr="0080138F">
        <w:trPr>
          <w:trHeight w:val="312"/>
        </w:trPr>
        <w:tc>
          <w:tcPr>
            <w:tcW w:w="2860" w:type="dxa"/>
            <w:tcBorders>
              <w:top w:val="nil"/>
              <w:left w:val="nil"/>
              <w:bottom w:val="nil"/>
              <w:right w:val="nil"/>
            </w:tcBorders>
            <w:noWrap/>
            <w:vAlign w:val="bottom"/>
            <w:hideMark/>
          </w:tcPr>
          <w:p w14:paraId="69606C59" w14:textId="7232FB8F" w:rsidR="0080138F" w:rsidRPr="0080138F" w:rsidRDefault="0080138F" w:rsidP="0080138F">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Enterprise Value (EV) Calculation</w:t>
            </w:r>
          </w:p>
        </w:tc>
        <w:tc>
          <w:tcPr>
            <w:tcW w:w="2440" w:type="dxa"/>
            <w:tcBorders>
              <w:top w:val="nil"/>
              <w:left w:val="nil"/>
              <w:bottom w:val="nil"/>
              <w:right w:val="nil"/>
            </w:tcBorders>
            <w:noWrap/>
            <w:vAlign w:val="bottom"/>
            <w:hideMark/>
          </w:tcPr>
          <w:p w14:paraId="3329923C" w14:textId="77777777" w:rsidR="0080138F" w:rsidRPr="0080138F" w:rsidRDefault="0080138F" w:rsidP="0080138F">
            <w:pPr>
              <w:spacing w:after="0" w:line="240" w:lineRule="auto"/>
              <w:rPr>
                <w:rFonts w:ascii="Aptos Narrow" w:eastAsia="Times New Roman" w:hAnsi="Aptos Narrow" w:cs="Times New Roman"/>
                <w:b/>
                <w:bCs/>
                <w:color w:val="000000"/>
                <w:kern w:val="0"/>
                <w:lang w:eastAsia="en-GB"/>
                <w14:ligatures w14:val="none"/>
              </w:rPr>
            </w:pPr>
          </w:p>
        </w:tc>
      </w:tr>
      <w:tr w:rsidR="0080138F" w:rsidRPr="0080138F" w14:paraId="7256B211" w14:textId="77777777" w:rsidTr="0080138F">
        <w:trPr>
          <w:trHeight w:val="288"/>
        </w:trPr>
        <w:tc>
          <w:tcPr>
            <w:tcW w:w="2860" w:type="dxa"/>
            <w:tcBorders>
              <w:top w:val="nil"/>
              <w:left w:val="nil"/>
              <w:bottom w:val="nil"/>
              <w:right w:val="nil"/>
            </w:tcBorders>
            <w:noWrap/>
            <w:vAlign w:val="bottom"/>
            <w:hideMark/>
          </w:tcPr>
          <w:p w14:paraId="7AC517E0" w14:textId="77777777" w:rsidR="0080138F" w:rsidRPr="0080138F" w:rsidRDefault="0080138F" w:rsidP="0080138F">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Item</w:t>
            </w:r>
          </w:p>
        </w:tc>
        <w:tc>
          <w:tcPr>
            <w:tcW w:w="2440" w:type="dxa"/>
            <w:tcBorders>
              <w:top w:val="nil"/>
              <w:left w:val="nil"/>
              <w:bottom w:val="nil"/>
              <w:right w:val="nil"/>
            </w:tcBorders>
            <w:noWrap/>
            <w:vAlign w:val="bottom"/>
            <w:hideMark/>
          </w:tcPr>
          <w:p w14:paraId="7631DF76" w14:textId="77777777" w:rsidR="0080138F" w:rsidRPr="0080138F" w:rsidRDefault="0080138F" w:rsidP="0080138F">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£m</w:t>
            </w:r>
          </w:p>
        </w:tc>
      </w:tr>
      <w:tr w:rsidR="0080138F" w:rsidRPr="0080138F" w14:paraId="581C0FB7" w14:textId="77777777" w:rsidTr="0080138F">
        <w:trPr>
          <w:trHeight w:val="288"/>
        </w:trPr>
        <w:tc>
          <w:tcPr>
            <w:tcW w:w="2860" w:type="dxa"/>
            <w:tcBorders>
              <w:top w:val="nil"/>
              <w:left w:val="nil"/>
              <w:bottom w:val="nil"/>
              <w:right w:val="nil"/>
            </w:tcBorders>
            <w:noWrap/>
            <w:vAlign w:val="bottom"/>
            <w:hideMark/>
          </w:tcPr>
          <w:p w14:paraId="02FA2E4A" w14:textId="77777777" w:rsidR="0080138F" w:rsidRPr="0080138F" w:rsidRDefault="0080138F" w:rsidP="0080138F">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PV of FCF (Years 1-5)</w:t>
            </w:r>
          </w:p>
        </w:tc>
        <w:tc>
          <w:tcPr>
            <w:tcW w:w="2440" w:type="dxa"/>
            <w:tcBorders>
              <w:top w:val="nil"/>
              <w:left w:val="nil"/>
              <w:bottom w:val="nil"/>
              <w:right w:val="nil"/>
            </w:tcBorders>
            <w:noWrap/>
            <w:vAlign w:val="bottom"/>
            <w:hideMark/>
          </w:tcPr>
          <w:p w14:paraId="52CE86F4" w14:textId="77777777" w:rsidR="0080138F" w:rsidRPr="0080138F" w:rsidRDefault="0080138F" w:rsidP="0080138F">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£45,077.46</w:t>
            </w:r>
          </w:p>
        </w:tc>
      </w:tr>
      <w:tr w:rsidR="0080138F" w:rsidRPr="0080138F" w14:paraId="2FCB22B7" w14:textId="77777777" w:rsidTr="0080138F">
        <w:trPr>
          <w:trHeight w:val="288"/>
        </w:trPr>
        <w:tc>
          <w:tcPr>
            <w:tcW w:w="2860" w:type="dxa"/>
            <w:tcBorders>
              <w:top w:val="nil"/>
              <w:left w:val="nil"/>
              <w:bottom w:val="nil"/>
              <w:right w:val="nil"/>
            </w:tcBorders>
            <w:noWrap/>
            <w:vAlign w:val="bottom"/>
            <w:hideMark/>
          </w:tcPr>
          <w:p w14:paraId="4793BE7D" w14:textId="77777777" w:rsidR="0080138F" w:rsidRPr="0080138F" w:rsidRDefault="0080138F" w:rsidP="0080138F">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PV of Terminal Value</w:t>
            </w:r>
          </w:p>
        </w:tc>
        <w:tc>
          <w:tcPr>
            <w:tcW w:w="2440" w:type="dxa"/>
            <w:tcBorders>
              <w:top w:val="nil"/>
              <w:left w:val="nil"/>
              <w:bottom w:val="nil"/>
              <w:right w:val="nil"/>
            </w:tcBorders>
            <w:noWrap/>
            <w:vAlign w:val="bottom"/>
            <w:hideMark/>
          </w:tcPr>
          <w:p w14:paraId="09FFA78B" w14:textId="77777777" w:rsidR="0080138F" w:rsidRPr="0080138F" w:rsidRDefault="0080138F" w:rsidP="0080138F">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£125,163.32</w:t>
            </w:r>
          </w:p>
        </w:tc>
      </w:tr>
      <w:tr w:rsidR="0080138F" w:rsidRPr="0080138F" w14:paraId="6882C676" w14:textId="77777777" w:rsidTr="0080138F">
        <w:trPr>
          <w:trHeight w:val="288"/>
        </w:trPr>
        <w:tc>
          <w:tcPr>
            <w:tcW w:w="2860" w:type="dxa"/>
            <w:tcBorders>
              <w:top w:val="nil"/>
              <w:left w:val="nil"/>
              <w:bottom w:val="nil"/>
              <w:right w:val="nil"/>
            </w:tcBorders>
            <w:noWrap/>
            <w:vAlign w:val="bottom"/>
            <w:hideMark/>
          </w:tcPr>
          <w:p w14:paraId="1EFF8832" w14:textId="77777777" w:rsidR="0080138F" w:rsidRPr="0080138F" w:rsidRDefault="0080138F" w:rsidP="0080138F">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Enterprise Value</w:t>
            </w:r>
          </w:p>
        </w:tc>
        <w:tc>
          <w:tcPr>
            <w:tcW w:w="2440" w:type="dxa"/>
            <w:tcBorders>
              <w:top w:val="nil"/>
              <w:left w:val="nil"/>
              <w:bottom w:val="nil"/>
              <w:right w:val="nil"/>
            </w:tcBorders>
            <w:noWrap/>
            <w:vAlign w:val="bottom"/>
            <w:hideMark/>
          </w:tcPr>
          <w:p w14:paraId="4C18A51A" w14:textId="77777777" w:rsidR="0080138F" w:rsidRPr="0080138F" w:rsidRDefault="0080138F" w:rsidP="0080138F">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£170,240.78</w:t>
            </w:r>
          </w:p>
        </w:tc>
      </w:tr>
    </w:tbl>
    <w:p w14:paraId="1F0FFA79" w14:textId="77777777" w:rsidR="0080138F" w:rsidRPr="0080138F" w:rsidRDefault="0080138F" w:rsidP="00B01586">
      <w:pPr>
        <w:rPr>
          <w:rFonts w:ascii="Times New Roman" w:hAnsi="Times New Roman" w:cs="Times New Roman"/>
        </w:rPr>
      </w:pPr>
    </w:p>
    <w:p w14:paraId="2A1AAB78" w14:textId="65C7ECAC" w:rsidR="00EE6E30" w:rsidRDefault="00EE6E30" w:rsidP="00EE6E30">
      <w:pPr>
        <w:rPr>
          <w:rFonts w:ascii="Times New Roman" w:hAnsi="Times New Roman" w:cs="Times New Roman"/>
          <w:i/>
          <w:iCs/>
        </w:rPr>
      </w:pPr>
      <w:r>
        <w:rPr>
          <w:rFonts w:ascii="Times New Roman" w:hAnsi="Times New Roman" w:cs="Times New Roman"/>
          <w:i/>
          <w:iCs/>
        </w:rPr>
        <w:t>The EV reflects the total value of the company’s operations (equity + debt – cash) as implied by the discount cash flows.</w:t>
      </w:r>
    </w:p>
    <w:p w14:paraId="50D56B9C" w14:textId="77777777" w:rsidR="00EE6E30" w:rsidRDefault="00EE6E30" w:rsidP="00EE6E30">
      <w:pPr>
        <w:rPr>
          <w:rFonts w:ascii="Times New Roman" w:hAnsi="Times New Roman" w:cs="Times New Roman"/>
          <w:i/>
          <w:iCs/>
        </w:rPr>
      </w:pPr>
    </w:p>
    <w:p w14:paraId="3464490A" w14:textId="77777777" w:rsidR="00EE6E30" w:rsidRDefault="00EE6E30" w:rsidP="00EE6E30">
      <w:pPr>
        <w:pBdr>
          <w:bottom w:val="single" w:sz="12" w:space="1" w:color="auto"/>
        </w:pBdr>
        <w:rPr>
          <w:rFonts w:ascii="Times New Roman" w:hAnsi="Times New Roman" w:cs="Times New Roman"/>
          <w:i/>
          <w:iCs/>
        </w:rPr>
      </w:pPr>
    </w:p>
    <w:p w14:paraId="6BCD8509" w14:textId="77777777" w:rsidR="00EE6E30" w:rsidRDefault="00EE6E30" w:rsidP="00EE6E30">
      <w:pPr>
        <w:rPr>
          <w:rFonts w:ascii="Times New Roman" w:hAnsi="Times New Roman" w:cs="Times New Roman"/>
          <w:i/>
          <w:iCs/>
        </w:rPr>
      </w:pPr>
    </w:p>
    <w:p w14:paraId="27C6DBFC" w14:textId="1A68F032" w:rsidR="00EE6E30" w:rsidRDefault="00EE6E30" w:rsidP="00EE6E30">
      <w:pPr>
        <w:rPr>
          <w:rFonts w:ascii="Times New Roman" w:hAnsi="Times New Roman" w:cs="Times New Roman"/>
          <w:b/>
          <w:bCs/>
        </w:rPr>
      </w:pPr>
      <w:r>
        <w:rPr>
          <w:rFonts w:ascii="Times New Roman" w:hAnsi="Times New Roman" w:cs="Times New Roman"/>
          <w:b/>
          <w:bCs/>
        </w:rPr>
        <w:lastRenderedPageBreak/>
        <w:t>4. Equity Value &amp; Implied Share Price</w:t>
      </w:r>
    </w:p>
    <w:p w14:paraId="3F971C1A" w14:textId="77777777" w:rsidR="00EE6E30" w:rsidRDefault="00EE6E30" w:rsidP="00EE6E30">
      <w:pPr>
        <w:rPr>
          <w:rFonts w:ascii="Times New Roman" w:hAnsi="Times New Roman" w:cs="Times New Roman"/>
          <w:b/>
          <w:bCs/>
        </w:rPr>
      </w:pPr>
    </w:p>
    <w:tbl>
      <w:tblPr>
        <w:tblW w:w="4280" w:type="dxa"/>
        <w:tblLook w:val="04A0" w:firstRow="1" w:lastRow="0" w:firstColumn="1" w:lastColumn="0" w:noHBand="0" w:noVBand="1"/>
      </w:tblPr>
      <w:tblGrid>
        <w:gridCol w:w="2440"/>
        <w:gridCol w:w="1840"/>
      </w:tblGrid>
      <w:tr w:rsidR="00EE6E30" w:rsidRPr="00EE6E30" w14:paraId="347B789A" w14:textId="77777777" w:rsidTr="00EE6E30">
        <w:trPr>
          <w:trHeight w:val="312"/>
        </w:trPr>
        <w:tc>
          <w:tcPr>
            <w:tcW w:w="2440" w:type="dxa"/>
            <w:tcBorders>
              <w:top w:val="nil"/>
              <w:left w:val="nil"/>
              <w:bottom w:val="nil"/>
              <w:right w:val="nil"/>
            </w:tcBorders>
            <w:noWrap/>
            <w:vAlign w:val="bottom"/>
            <w:hideMark/>
          </w:tcPr>
          <w:p w14:paraId="1298F772" w14:textId="77777777" w:rsidR="00EE6E30" w:rsidRPr="00EE6E30" w:rsidRDefault="00EE6E30" w:rsidP="00EE6E30">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Equity Value &amp; Share Price</w:t>
            </w:r>
          </w:p>
        </w:tc>
        <w:tc>
          <w:tcPr>
            <w:tcW w:w="1840" w:type="dxa"/>
            <w:tcBorders>
              <w:top w:val="nil"/>
              <w:left w:val="nil"/>
              <w:bottom w:val="nil"/>
              <w:right w:val="nil"/>
            </w:tcBorders>
            <w:noWrap/>
            <w:vAlign w:val="bottom"/>
            <w:hideMark/>
          </w:tcPr>
          <w:p w14:paraId="1159937A" w14:textId="77777777" w:rsidR="00EE6E30" w:rsidRPr="00EE6E30" w:rsidRDefault="00EE6E30" w:rsidP="00EE6E30">
            <w:pPr>
              <w:spacing w:after="0" w:line="240" w:lineRule="auto"/>
              <w:rPr>
                <w:rFonts w:ascii="Aptos Narrow" w:eastAsia="Times New Roman" w:hAnsi="Aptos Narrow" w:cs="Times New Roman"/>
                <w:b/>
                <w:bCs/>
                <w:color w:val="000000"/>
                <w:kern w:val="0"/>
                <w:lang w:eastAsia="en-GB"/>
                <w14:ligatures w14:val="none"/>
              </w:rPr>
            </w:pPr>
          </w:p>
        </w:tc>
      </w:tr>
      <w:tr w:rsidR="00EE6E30" w:rsidRPr="00EE6E30" w14:paraId="7FA8B496" w14:textId="77777777" w:rsidTr="00EE6E30">
        <w:trPr>
          <w:trHeight w:val="288"/>
        </w:trPr>
        <w:tc>
          <w:tcPr>
            <w:tcW w:w="2440" w:type="dxa"/>
            <w:tcBorders>
              <w:top w:val="nil"/>
              <w:left w:val="nil"/>
              <w:bottom w:val="nil"/>
              <w:right w:val="nil"/>
            </w:tcBorders>
            <w:noWrap/>
            <w:vAlign w:val="bottom"/>
            <w:hideMark/>
          </w:tcPr>
          <w:p w14:paraId="7FCE7825" w14:textId="77777777" w:rsidR="00EE6E30" w:rsidRPr="00EE6E30" w:rsidRDefault="00EE6E30" w:rsidP="00EE6E30">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Item</w:t>
            </w:r>
          </w:p>
        </w:tc>
        <w:tc>
          <w:tcPr>
            <w:tcW w:w="1840" w:type="dxa"/>
            <w:tcBorders>
              <w:top w:val="nil"/>
              <w:left w:val="nil"/>
              <w:bottom w:val="nil"/>
              <w:right w:val="nil"/>
            </w:tcBorders>
            <w:noWrap/>
            <w:vAlign w:val="bottom"/>
            <w:hideMark/>
          </w:tcPr>
          <w:p w14:paraId="2EE4193B" w14:textId="77777777" w:rsidR="00EE6E30" w:rsidRPr="00EE6E30" w:rsidRDefault="00EE6E30" w:rsidP="00EE6E30">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£m</w:t>
            </w:r>
          </w:p>
        </w:tc>
      </w:tr>
      <w:tr w:rsidR="00EE6E30" w:rsidRPr="00EE6E30" w14:paraId="58BD9ADB" w14:textId="77777777" w:rsidTr="00EE6E30">
        <w:trPr>
          <w:trHeight w:val="288"/>
        </w:trPr>
        <w:tc>
          <w:tcPr>
            <w:tcW w:w="2440" w:type="dxa"/>
            <w:tcBorders>
              <w:top w:val="nil"/>
              <w:left w:val="nil"/>
              <w:bottom w:val="nil"/>
              <w:right w:val="nil"/>
            </w:tcBorders>
            <w:noWrap/>
            <w:vAlign w:val="bottom"/>
            <w:hideMark/>
          </w:tcPr>
          <w:p w14:paraId="0624DBA0" w14:textId="77777777" w:rsidR="00EE6E30" w:rsidRPr="00EE6E30" w:rsidRDefault="00EE6E30" w:rsidP="00EE6E30">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Enterprise Value</w:t>
            </w:r>
          </w:p>
        </w:tc>
        <w:tc>
          <w:tcPr>
            <w:tcW w:w="1840" w:type="dxa"/>
            <w:tcBorders>
              <w:top w:val="nil"/>
              <w:left w:val="nil"/>
              <w:bottom w:val="nil"/>
              <w:right w:val="nil"/>
            </w:tcBorders>
            <w:noWrap/>
            <w:vAlign w:val="bottom"/>
            <w:hideMark/>
          </w:tcPr>
          <w:p w14:paraId="4F0A49CA" w14:textId="77777777" w:rsidR="00EE6E30" w:rsidRPr="00EE6E30" w:rsidRDefault="00EE6E30" w:rsidP="00EE6E30">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170,240.78</w:t>
            </w:r>
          </w:p>
        </w:tc>
      </w:tr>
      <w:tr w:rsidR="00EE6E30" w:rsidRPr="00EE6E30" w14:paraId="24E5CF5F" w14:textId="77777777" w:rsidTr="00EE6E30">
        <w:trPr>
          <w:trHeight w:val="288"/>
        </w:trPr>
        <w:tc>
          <w:tcPr>
            <w:tcW w:w="2440" w:type="dxa"/>
            <w:tcBorders>
              <w:top w:val="nil"/>
              <w:left w:val="nil"/>
              <w:bottom w:val="nil"/>
              <w:right w:val="nil"/>
            </w:tcBorders>
            <w:noWrap/>
            <w:vAlign w:val="bottom"/>
            <w:hideMark/>
          </w:tcPr>
          <w:p w14:paraId="7CEAA08B" w14:textId="77777777" w:rsidR="00EE6E30" w:rsidRPr="00EE6E30" w:rsidRDefault="00EE6E30" w:rsidP="00EE6E30">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Less: Net Debt</w:t>
            </w:r>
          </w:p>
        </w:tc>
        <w:tc>
          <w:tcPr>
            <w:tcW w:w="1840" w:type="dxa"/>
            <w:tcBorders>
              <w:top w:val="nil"/>
              <w:left w:val="nil"/>
              <w:bottom w:val="nil"/>
              <w:right w:val="nil"/>
            </w:tcBorders>
            <w:noWrap/>
            <w:vAlign w:val="bottom"/>
            <w:hideMark/>
          </w:tcPr>
          <w:p w14:paraId="501DDE4B" w14:textId="77777777" w:rsidR="00EE6E30" w:rsidRPr="00EE6E30" w:rsidRDefault="00EE6E30" w:rsidP="00EE6E30">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25,187.00</w:t>
            </w:r>
          </w:p>
        </w:tc>
      </w:tr>
      <w:tr w:rsidR="00EE6E30" w:rsidRPr="00EE6E30" w14:paraId="10418E82" w14:textId="77777777" w:rsidTr="00EE6E30">
        <w:trPr>
          <w:trHeight w:val="288"/>
        </w:trPr>
        <w:tc>
          <w:tcPr>
            <w:tcW w:w="2440" w:type="dxa"/>
            <w:tcBorders>
              <w:top w:val="nil"/>
              <w:left w:val="nil"/>
              <w:bottom w:val="nil"/>
              <w:right w:val="nil"/>
            </w:tcBorders>
            <w:noWrap/>
            <w:vAlign w:val="bottom"/>
            <w:hideMark/>
          </w:tcPr>
          <w:p w14:paraId="1F51271C" w14:textId="77777777" w:rsidR="00EE6E30" w:rsidRPr="00EE6E30" w:rsidRDefault="00EE6E30" w:rsidP="00EE6E30">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Equity Value</w:t>
            </w:r>
          </w:p>
        </w:tc>
        <w:tc>
          <w:tcPr>
            <w:tcW w:w="1840" w:type="dxa"/>
            <w:tcBorders>
              <w:top w:val="nil"/>
              <w:left w:val="nil"/>
              <w:bottom w:val="nil"/>
              <w:right w:val="nil"/>
            </w:tcBorders>
            <w:noWrap/>
            <w:vAlign w:val="bottom"/>
            <w:hideMark/>
          </w:tcPr>
          <w:p w14:paraId="07562E79" w14:textId="77777777" w:rsidR="00EE6E30" w:rsidRPr="00EE6E30" w:rsidRDefault="00EE6E30" w:rsidP="00EE6E30">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145,053.78</w:t>
            </w:r>
          </w:p>
        </w:tc>
      </w:tr>
      <w:tr w:rsidR="00EE6E30" w:rsidRPr="00EE6E30" w14:paraId="04198516" w14:textId="77777777" w:rsidTr="00EE6E30">
        <w:trPr>
          <w:trHeight w:val="288"/>
        </w:trPr>
        <w:tc>
          <w:tcPr>
            <w:tcW w:w="2440" w:type="dxa"/>
            <w:tcBorders>
              <w:top w:val="nil"/>
              <w:left w:val="nil"/>
              <w:bottom w:val="nil"/>
              <w:right w:val="nil"/>
            </w:tcBorders>
            <w:noWrap/>
            <w:vAlign w:val="bottom"/>
            <w:hideMark/>
          </w:tcPr>
          <w:p w14:paraId="3E04CDB2" w14:textId="77777777" w:rsidR="00EE6E30" w:rsidRPr="00EE6E30" w:rsidRDefault="00EE6E30" w:rsidP="00EE6E30">
            <w:pPr>
              <w:spacing w:after="0" w:line="240" w:lineRule="auto"/>
              <w:jc w:val="right"/>
              <w:rPr>
                <w:rFonts w:ascii="Aptos Narrow" w:eastAsia="Times New Roman" w:hAnsi="Aptos Narrow" w:cs="Times New Roman"/>
                <w:color w:val="000000"/>
                <w:kern w:val="0"/>
                <w:sz w:val="22"/>
                <w:szCs w:val="22"/>
                <w:lang w:eastAsia="en-GB"/>
                <w14:ligatures w14:val="none"/>
              </w:rPr>
            </w:pPr>
          </w:p>
        </w:tc>
        <w:tc>
          <w:tcPr>
            <w:tcW w:w="1840" w:type="dxa"/>
            <w:tcBorders>
              <w:top w:val="nil"/>
              <w:left w:val="nil"/>
              <w:bottom w:val="nil"/>
              <w:right w:val="nil"/>
            </w:tcBorders>
            <w:noWrap/>
            <w:vAlign w:val="bottom"/>
            <w:hideMark/>
          </w:tcPr>
          <w:p w14:paraId="5953EF8B" w14:textId="77777777" w:rsidR="00EE6E30" w:rsidRPr="00EE6E30" w:rsidRDefault="00EE6E30" w:rsidP="00EE6E30">
            <w:pPr>
              <w:spacing w:after="0" w:line="240" w:lineRule="auto"/>
              <w:rPr>
                <w:rFonts w:ascii="Times New Roman" w:eastAsia="Times New Roman" w:hAnsi="Times New Roman" w:cs="Times New Roman"/>
                <w:kern w:val="0"/>
                <w:sz w:val="20"/>
                <w:szCs w:val="20"/>
                <w:lang w:eastAsia="en-GB"/>
                <w14:ligatures w14:val="none"/>
              </w:rPr>
            </w:pPr>
          </w:p>
        </w:tc>
      </w:tr>
      <w:tr w:rsidR="00EE6E30" w:rsidRPr="00EE6E30" w14:paraId="1E819C6C" w14:textId="77777777" w:rsidTr="00EE6E30">
        <w:trPr>
          <w:trHeight w:val="288"/>
        </w:trPr>
        <w:tc>
          <w:tcPr>
            <w:tcW w:w="2440" w:type="dxa"/>
            <w:tcBorders>
              <w:top w:val="nil"/>
              <w:left w:val="nil"/>
              <w:bottom w:val="nil"/>
              <w:right w:val="nil"/>
            </w:tcBorders>
            <w:noWrap/>
            <w:vAlign w:val="bottom"/>
            <w:hideMark/>
          </w:tcPr>
          <w:p w14:paraId="62134B72" w14:textId="77777777" w:rsidR="00EE6E30" w:rsidRPr="00EE6E30" w:rsidRDefault="00EE6E30" w:rsidP="00EE6E30">
            <w:pPr>
              <w:spacing w:after="0" w:line="240" w:lineRule="auto"/>
              <w:rPr>
                <w:rFonts w:ascii="Times New Roman" w:eastAsia="Times New Roman" w:hAnsi="Times New Roman" w:cs="Times New Roman"/>
                <w:kern w:val="0"/>
                <w:sz w:val="20"/>
                <w:szCs w:val="20"/>
                <w:lang w:eastAsia="en-GB"/>
                <w14:ligatures w14:val="none"/>
              </w:rPr>
            </w:pPr>
          </w:p>
        </w:tc>
        <w:tc>
          <w:tcPr>
            <w:tcW w:w="1840" w:type="dxa"/>
            <w:tcBorders>
              <w:top w:val="nil"/>
              <w:left w:val="nil"/>
              <w:bottom w:val="nil"/>
              <w:right w:val="nil"/>
            </w:tcBorders>
            <w:noWrap/>
            <w:vAlign w:val="bottom"/>
            <w:hideMark/>
          </w:tcPr>
          <w:p w14:paraId="194245EF" w14:textId="77777777" w:rsidR="00EE6E30" w:rsidRPr="00EE6E30" w:rsidRDefault="00EE6E30" w:rsidP="00EE6E30">
            <w:pPr>
              <w:spacing w:after="0" w:line="240" w:lineRule="auto"/>
              <w:rPr>
                <w:rFonts w:ascii="Times New Roman" w:eastAsia="Times New Roman" w:hAnsi="Times New Roman" w:cs="Times New Roman"/>
                <w:kern w:val="0"/>
                <w:sz w:val="20"/>
                <w:szCs w:val="20"/>
                <w:lang w:eastAsia="en-GB"/>
                <w14:ligatures w14:val="none"/>
              </w:rPr>
            </w:pPr>
          </w:p>
        </w:tc>
      </w:tr>
      <w:tr w:rsidR="00EE6E30" w:rsidRPr="00EE6E30" w14:paraId="0F22115F" w14:textId="77777777" w:rsidTr="00EE6E30">
        <w:trPr>
          <w:trHeight w:val="288"/>
        </w:trPr>
        <w:tc>
          <w:tcPr>
            <w:tcW w:w="2440" w:type="dxa"/>
            <w:tcBorders>
              <w:top w:val="nil"/>
              <w:left w:val="nil"/>
              <w:bottom w:val="nil"/>
              <w:right w:val="nil"/>
            </w:tcBorders>
            <w:noWrap/>
            <w:vAlign w:val="bottom"/>
            <w:hideMark/>
          </w:tcPr>
          <w:p w14:paraId="6D5A905B" w14:textId="77777777" w:rsidR="00EE6E30" w:rsidRPr="00EE6E30" w:rsidRDefault="00EE6E30" w:rsidP="00EE6E30">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Per Share Valuation</w:t>
            </w:r>
          </w:p>
        </w:tc>
        <w:tc>
          <w:tcPr>
            <w:tcW w:w="1840" w:type="dxa"/>
            <w:tcBorders>
              <w:top w:val="nil"/>
              <w:left w:val="nil"/>
              <w:bottom w:val="nil"/>
              <w:right w:val="nil"/>
            </w:tcBorders>
            <w:noWrap/>
            <w:vAlign w:val="bottom"/>
            <w:hideMark/>
          </w:tcPr>
          <w:p w14:paraId="4660EAF2" w14:textId="77777777" w:rsidR="00EE6E30" w:rsidRPr="00EE6E30" w:rsidRDefault="00EE6E30" w:rsidP="00EE6E30">
            <w:pPr>
              <w:spacing w:after="0" w:line="240" w:lineRule="auto"/>
              <w:rPr>
                <w:rFonts w:ascii="Aptos Narrow" w:eastAsia="Times New Roman" w:hAnsi="Aptos Narrow" w:cs="Times New Roman"/>
                <w:b/>
                <w:bCs/>
                <w:color w:val="000000"/>
                <w:kern w:val="0"/>
                <w:sz w:val="22"/>
                <w:szCs w:val="22"/>
                <w:lang w:eastAsia="en-GB"/>
                <w14:ligatures w14:val="none"/>
              </w:rPr>
            </w:pPr>
          </w:p>
        </w:tc>
      </w:tr>
      <w:tr w:rsidR="00EE6E30" w:rsidRPr="00EE6E30" w14:paraId="097D7B71" w14:textId="77777777" w:rsidTr="00EE6E30">
        <w:trPr>
          <w:trHeight w:val="288"/>
        </w:trPr>
        <w:tc>
          <w:tcPr>
            <w:tcW w:w="2440" w:type="dxa"/>
            <w:tcBorders>
              <w:top w:val="nil"/>
              <w:left w:val="nil"/>
              <w:bottom w:val="nil"/>
              <w:right w:val="nil"/>
            </w:tcBorders>
            <w:noWrap/>
            <w:vAlign w:val="bottom"/>
            <w:hideMark/>
          </w:tcPr>
          <w:p w14:paraId="2901199E" w14:textId="77777777" w:rsidR="00EE6E30" w:rsidRPr="00EE6E30" w:rsidRDefault="00EE6E30" w:rsidP="00EE6E30">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Item</w:t>
            </w:r>
          </w:p>
        </w:tc>
        <w:tc>
          <w:tcPr>
            <w:tcW w:w="1840" w:type="dxa"/>
            <w:tcBorders>
              <w:top w:val="nil"/>
              <w:left w:val="nil"/>
              <w:bottom w:val="nil"/>
              <w:right w:val="nil"/>
            </w:tcBorders>
            <w:noWrap/>
            <w:vAlign w:val="bottom"/>
            <w:hideMark/>
          </w:tcPr>
          <w:p w14:paraId="2A408D67" w14:textId="77777777" w:rsidR="00EE6E30" w:rsidRPr="00EE6E30" w:rsidRDefault="00EE6E30" w:rsidP="00EE6E30">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Value</w:t>
            </w:r>
          </w:p>
        </w:tc>
      </w:tr>
      <w:tr w:rsidR="00EE6E30" w:rsidRPr="00EE6E30" w14:paraId="5BA9D470" w14:textId="77777777" w:rsidTr="00EE6E30">
        <w:trPr>
          <w:trHeight w:val="288"/>
        </w:trPr>
        <w:tc>
          <w:tcPr>
            <w:tcW w:w="2440" w:type="dxa"/>
            <w:tcBorders>
              <w:top w:val="nil"/>
              <w:left w:val="nil"/>
              <w:bottom w:val="nil"/>
              <w:right w:val="nil"/>
            </w:tcBorders>
            <w:noWrap/>
            <w:vAlign w:val="bottom"/>
            <w:hideMark/>
          </w:tcPr>
          <w:p w14:paraId="2DF55B6B" w14:textId="77777777" w:rsidR="00EE6E30" w:rsidRPr="00EE6E30" w:rsidRDefault="00EE6E30" w:rsidP="00EE6E30">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Equity Value (£)</w:t>
            </w:r>
          </w:p>
        </w:tc>
        <w:tc>
          <w:tcPr>
            <w:tcW w:w="1840" w:type="dxa"/>
            <w:tcBorders>
              <w:top w:val="nil"/>
              <w:left w:val="nil"/>
              <w:bottom w:val="nil"/>
              <w:right w:val="nil"/>
            </w:tcBorders>
            <w:noWrap/>
            <w:vAlign w:val="bottom"/>
            <w:hideMark/>
          </w:tcPr>
          <w:p w14:paraId="38C0E8A5" w14:textId="77777777" w:rsidR="00EE6E30" w:rsidRPr="00EE6E30" w:rsidRDefault="00EE6E30" w:rsidP="00EE6E30">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above</w:t>
            </w:r>
          </w:p>
        </w:tc>
      </w:tr>
      <w:tr w:rsidR="00EE6E30" w:rsidRPr="00EE6E30" w14:paraId="16D412A3" w14:textId="77777777" w:rsidTr="00EE6E30">
        <w:trPr>
          <w:trHeight w:val="288"/>
        </w:trPr>
        <w:tc>
          <w:tcPr>
            <w:tcW w:w="2440" w:type="dxa"/>
            <w:tcBorders>
              <w:top w:val="nil"/>
              <w:left w:val="nil"/>
              <w:bottom w:val="nil"/>
              <w:right w:val="nil"/>
            </w:tcBorders>
            <w:noWrap/>
            <w:vAlign w:val="bottom"/>
            <w:hideMark/>
          </w:tcPr>
          <w:p w14:paraId="1D47A601" w14:textId="77777777" w:rsidR="00EE6E30" w:rsidRPr="00EE6E30" w:rsidRDefault="00EE6E30" w:rsidP="00EE6E30">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Shares Outstanding</w:t>
            </w:r>
          </w:p>
        </w:tc>
        <w:tc>
          <w:tcPr>
            <w:tcW w:w="1840" w:type="dxa"/>
            <w:tcBorders>
              <w:top w:val="nil"/>
              <w:left w:val="nil"/>
              <w:bottom w:val="nil"/>
              <w:right w:val="nil"/>
            </w:tcBorders>
            <w:noWrap/>
            <w:vAlign w:val="bottom"/>
            <w:hideMark/>
          </w:tcPr>
          <w:p w14:paraId="60B83B9E" w14:textId="77777777" w:rsidR="00EE6E30" w:rsidRPr="00EE6E30" w:rsidRDefault="00EE6E30" w:rsidP="00EE6E30">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15,700</w:t>
            </w:r>
          </w:p>
        </w:tc>
      </w:tr>
      <w:tr w:rsidR="00EE6E30" w:rsidRPr="00EE6E30" w14:paraId="12F26FA5" w14:textId="77777777" w:rsidTr="00EE6E30">
        <w:trPr>
          <w:trHeight w:val="288"/>
        </w:trPr>
        <w:tc>
          <w:tcPr>
            <w:tcW w:w="2440" w:type="dxa"/>
            <w:tcBorders>
              <w:top w:val="nil"/>
              <w:left w:val="nil"/>
              <w:bottom w:val="nil"/>
              <w:right w:val="nil"/>
            </w:tcBorders>
            <w:noWrap/>
            <w:vAlign w:val="bottom"/>
            <w:hideMark/>
          </w:tcPr>
          <w:p w14:paraId="60DBC2D1" w14:textId="77777777" w:rsidR="00EE6E30" w:rsidRPr="00EE6E30" w:rsidRDefault="00EE6E30" w:rsidP="00EE6E30">
            <w:pPr>
              <w:spacing w:after="0" w:line="240" w:lineRule="auto"/>
              <w:rPr>
                <w:rFonts w:ascii="Aptos Narrow" w:eastAsia="Times New Roman" w:hAnsi="Aptos Narrow" w:cs="Times New Roman"/>
                <w:b/>
                <w:bCs/>
                <w:color w:val="000000"/>
                <w:kern w:val="0"/>
                <w:sz w:val="22"/>
                <w:szCs w:val="22"/>
                <w:lang w:eastAsia="en-GB"/>
                <w14:ligatures w14:val="none"/>
              </w:rPr>
            </w:pPr>
            <w:r>
              <w:rPr>
                <w:rFonts w:ascii="Aptos Narrow" w:eastAsia="Times New Roman" w:hAnsi="Aptos Narrow" w:cs="Times New Roman"/>
                <w:b/>
                <w:bCs/>
                <w:color w:val="000000"/>
                <w:kern w:val="0"/>
                <w:sz w:val="22"/>
                <w:szCs w:val="22"/>
                <w:lang w:eastAsia="en-GB"/>
                <w14:ligatures w14:val="none"/>
              </w:rPr>
              <w:t>Implied Share Price (£)</w:t>
            </w:r>
          </w:p>
        </w:tc>
        <w:tc>
          <w:tcPr>
            <w:tcW w:w="1840" w:type="dxa"/>
            <w:tcBorders>
              <w:top w:val="nil"/>
              <w:left w:val="nil"/>
              <w:bottom w:val="nil"/>
              <w:right w:val="nil"/>
            </w:tcBorders>
            <w:noWrap/>
            <w:vAlign w:val="bottom"/>
            <w:hideMark/>
          </w:tcPr>
          <w:p w14:paraId="69CDB054" w14:textId="77777777" w:rsidR="00EE6E30" w:rsidRPr="00EE6E30" w:rsidRDefault="00EE6E30" w:rsidP="00EE6E30">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£9.24</w:t>
            </w:r>
          </w:p>
        </w:tc>
      </w:tr>
    </w:tbl>
    <w:p w14:paraId="39609F34" w14:textId="77777777" w:rsidR="00EE6E30" w:rsidRPr="00EE6E30" w:rsidRDefault="00EE6E30" w:rsidP="00EE6E30">
      <w:pPr>
        <w:rPr>
          <w:rFonts w:ascii="Times New Roman" w:hAnsi="Times New Roman" w:cs="Times New Roman"/>
          <w:b/>
          <w:bCs/>
        </w:rPr>
      </w:pPr>
    </w:p>
    <w:p w14:paraId="4071EA7B" w14:textId="0325768D" w:rsidR="00EE6E30" w:rsidRDefault="00EE6E30" w:rsidP="00B01586">
      <w:pPr>
        <w:pBdr>
          <w:bottom w:val="single" w:sz="12" w:space="1" w:color="auto"/>
        </w:pBdr>
        <w:rPr>
          <w:rFonts w:ascii="Times New Roman" w:hAnsi="Times New Roman" w:cs="Times New Roman"/>
          <w:i/>
          <w:iCs/>
        </w:rPr>
      </w:pPr>
      <w:r>
        <w:rPr>
          <w:rFonts w:ascii="Times New Roman" w:hAnsi="Times New Roman" w:cs="Times New Roman"/>
          <w:i/>
          <w:iCs/>
        </w:rPr>
        <w:t xml:space="preserve">The Equity Value represents the portion of EV attributable to shareholders after debt is accounted for. Dividing this by the number of outstanding shares gives the implied stock price. In this case, the DCF model suggests a value of £9.24 per share, which can be compared to the current market price to assess where BP is over- or undervalued. </w:t>
      </w:r>
    </w:p>
    <w:p w14:paraId="7E8EA7C3" w14:textId="77777777" w:rsidR="00EE6E30" w:rsidRDefault="00EE6E30" w:rsidP="00B01586">
      <w:pPr>
        <w:pBdr>
          <w:bottom w:val="single" w:sz="12" w:space="1" w:color="auto"/>
        </w:pBdr>
        <w:rPr>
          <w:rFonts w:ascii="Times New Roman" w:hAnsi="Times New Roman" w:cs="Times New Roman"/>
          <w:i/>
          <w:iCs/>
        </w:rPr>
      </w:pPr>
    </w:p>
    <w:p w14:paraId="70ED9427" w14:textId="77777777" w:rsidR="00EE6E30" w:rsidRDefault="00EE6E30" w:rsidP="00B01586">
      <w:pPr>
        <w:pBdr>
          <w:bottom w:val="single" w:sz="12" w:space="1" w:color="auto"/>
        </w:pBdr>
        <w:rPr>
          <w:rFonts w:ascii="Times New Roman" w:hAnsi="Times New Roman" w:cs="Times New Roman"/>
          <w:i/>
          <w:iCs/>
        </w:rPr>
      </w:pPr>
    </w:p>
    <w:p w14:paraId="3894887C" w14:textId="04D12B34" w:rsidR="00EE6E30" w:rsidRPr="00EE6E30" w:rsidRDefault="00EE6E30" w:rsidP="00B01586">
      <w:pPr>
        <w:pBdr>
          <w:bottom w:val="single" w:sz="12" w:space="1" w:color="auto"/>
        </w:pBdr>
        <w:rPr>
          <w:rFonts w:ascii="Times New Roman" w:hAnsi="Times New Roman" w:cs="Times New Roman"/>
          <w:b/>
          <w:bCs/>
          <w:u w:val="single"/>
        </w:rPr>
      </w:pPr>
      <w:r>
        <w:rPr>
          <w:rFonts w:ascii="Times New Roman" w:hAnsi="Times New Roman" w:cs="Times New Roman"/>
          <w:b/>
          <w:bCs/>
          <w:u w:val="single"/>
        </w:rPr>
        <w:t>___________________________________________________________________________</w:t>
      </w:r>
    </w:p>
    <w:p w14:paraId="46BEAADF" w14:textId="58F15411" w:rsidR="00EE6E30" w:rsidRDefault="00922D18" w:rsidP="00B01586">
      <w:pPr>
        <w:pBdr>
          <w:bottom w:val="single" w:sz="12" w:space="1" w:color="auto"/>
        </w:pBdr>
        <w:rPr>
          <w:rFonts w:ascii="Times New Roman" w:hAnsi="Times New Roman" w:cs="Times New Roman"/>
          <w:b/>
          <w:bCs/>
        </w:rPr>
      </w:pPr>
      <w:r>
        <w:rPr>
          <w:rFonts w:ascii="Times New Roman" w:hAnsi="Times New Roman" w:cs="Times New Roman"/>
          <w:b/>
          <w:bCs/>
        </w:rPr>
        <w:t>5. Insights &amp; Interpretation</w:t>
      </w:r>
    </w:p>
    <w:p w14:paraId="101886AA" w14:textId="1421F73F" w:rsidR="00922D18" w:rsidRPr="00922D18" w:rsidRDefault="00922D18" w:rsidP="00922D18">
      <w:pPr>
        <w:pBdr>
          <w:bottom w:val="single" w:sz="12" w:space="1" w:color="auto"/>
        </w:pBdr>
        <w:rPr>
          <w:rFonts w:ascii="Times New Roman" w:hAnsi="Times New Roman" w:cs="Times New Roman"/>
        </w:rPr>
      </w:pPr>
      <w:r>
        <w:rPr>
          <w:rFonts w:ascii="Times New Roman" w:hAnsi="Times New Roman" w:cs="Times New Roman"/>
        </w:rPr>
        <w:t xml:space="preserve">The implied share price of £9.24 provides a theoretical valuation based on BP’s projected cash flows and risk profile. The current market price is approximately £5.42 (542p, September 2026), which is below the implied share price, indicating that the stock may be undervalued by around 70% on these assumptions. Key drivers consist of the FCF growth rate, WACC, and terminal growth assumptions – changes in these can impact the implied price. Around 74% of the enterprise value comes from the terminal value, so the result is highly sensitive to these inputs: across WACC of 7–9% and terminal growth of 1–2%, the implied price ranges from roughly £7.35 to £12.26 per share. This exercise highlights BP’s potential cash-generating activity. However, since I used some assumptive values the final implied share price I attained may not be entirely accurate – it is an approximation. BP also reports in US dollars, so the currency of the cash flow inputs should be confirmed.</w:t>
      </w:r>
    </w:p>
    <w:p w14:paraId="64F992C1" w14:textId="77777777" w:rsidR="00B01586" w:rsidRDefault="00B01586" w:rsidP="00B01586">
      <w:pPr>
        <w:pBdr>
          <w:bottom w:val="single" w:sz="12" w:space="1" w:color="auto"/>
        </w:pBdr>
        <w:rPr>
          <w:rFonts w:ascii="Times New Roman" w:hAnsi="Times New Roman" w:cs="Times New Roman"/>
          <w:i/>
          <w:iCs/>
        </w:rPr>
      </w:pPr>
    </w:p>
    <w:p w14:paraId="5A79E755" w14:textId="77777777" w:rsidR="004B5ACD" w:rsidRDefault="004B5ACD" w:rsidP="00B01586">
      <w:pPr>
        <w:pBdr>
          <w:bottom w:val="single" w:sz="12" w:space="1" w:color="auto"/>
        </w:pBdr>
        <w:rPr>
          <w:rFonts w:ascii="Times New Roman" w:hAnsi="Times New Roman" w:cs="Times New Roman"/>
          <w:i/>
          <w:iCs/>
        </w:rPr>
      </w:pPr>
    </w:p>
    <w:p w14:paraId="18CFC32B" w14:textId="77777777" w:rsidR="00B01586" w:rsidRDefault="00B01586" w:rsidP="00B01586">
      <w:pPr>
        <w:pBdr>
          <w:bottom w:val="single" w:sz="12" w:space="1" w:color="auto"/>
        </w:pBdr>
        <w:rPr>
          <w:rFonts w:ascii="Times New Roman" w:hAnsi="Times New Roman" w:cs="Times New Roman"/>
          <w:i/>
          <w:iCs/>
        </w:rPr>
      </w:pPr>
    </w:p>
    <w:sectPr w:rsidR="00B01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32C"/>
    <w:multiLevelType w:val="hybridMultilevel"/>
    <w:tmpl w:val="F0C0BE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F021AD"/>
    <w:multiLevelType w:val="hybridMultilevel"/>
    <w:tmpl w:val="EAC89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895702">
    <w:abstractNumId w:val="1"/>
  </w:num>
  <w:num w:numId="2" w16cid:durableId="1099525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B3"/>
    <w:rsid w:val="004B5ACD"/>
    <w:rsid w:val="004F68B3"/>
    <w:rsid w:val="0080138F"/>
    <w:rsid w:val="00922D18"/>
    <w:rsid w:val="00B01586"/>
    <w:rsid w:val="00D102C6"/>
    <w:rsid w:val="00EE6E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C83B"/>
  <w15:chartTrackingRefBased/>
  <w15:docId w15:val="{639FB58C-1587-4147-BD38-3FF3F202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8B3"/>
    <w:rPr>
      <w:rFonts w:eastAsiaTheme="majorEastAsia" w:cstheme="majorBidi"/>
      <w:color w:val="272727" w:themeColor="text1" w:themeTint="D8"/>
    </w:rPr>
  </w:style>
  <w:style w:type="paragraph" w:styleId="Title">
    <w:name w:val="Title"/>
    <w:basedOn w:val="Normal"/>
    <w:next w:val="Normal"/>
    <w:link w:val="TitleChar"/>
    <w:uiPriority w:val="10"/>
    <w:qFormat/>
    <w:rsid w:val="004F6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8B3"/>
    <w:pPr>
      <w:spacing w:before="160"/>
      <w:jc w:val="center"/>
    </w:pPr>
    <w:rPr>
      <w:i/>
      <w:iCs/>
      <w:color w:val="404040" w:themeColor="text1" w:themeTint="BF"/>
    </w:rPr>
  </w:style>
  <w:style w:type="character" w:customStyle="1" w:styleId="QuoteChar">
    <w:name w:val="Quote Char"/>
    <w:basedOn w:val="DefaultParagraphFont"/>
    <w:link w:val="Quote"/>
    <w:uiPriority w:val="29"/>
    <w:rsid w:val="004F68B3"/>
    <w:rPr>
      <w:i/>
      <w:iCs/>
      <w:color w:val="404040" w:themeColor="text1" w:themeTint="BF"/>
    </w:rPr>
  </w:style>
  <w:style w:type="paragraph" w:styleId="ListParagraph">
    <w:name w:val="List Paragraph"/>
    <w:basedOn w:val="Normal"/>
    <w:uiPriority w:val="34"/>
    <w:qFormat/>
    <w:rsid w:val="004F68B3"/>
    <w:pPr>
      <w:ind w:left="720"/>
      <w:contextualSpacing/>
    </w:pPr>
  </w:style>
  <w:style w:type="character" w:styleId="IntenseEmphasis">
    <w:name w:val="Intense Emphasis"/>
    <w:basedOn w:val="DefaultParagraphFont"/>
    <w:uiPriority w:val="21"/>
    <w:qFormat/>
    <w:rsid w:val="004F68B3"/>
    <w:rPr>
      <w:i/>
      <w:iCs/>
      <w:color w:val="0F4761" w:themeColor="accent1" w:themeShade="BF"/>
    </w:rPr>
  </w:style>
  <w:style w:type="paragraph" w:styleId="IntenseQuote">
    <w:name w:val="Intense Quote"/>
    <w:basedOn w:val="Normal"/>
    <w:next w:val="Normal"/>
    <w:link w:val="IntenseQuoteChar"/>
    <w:uiPriority w:val="30"/>
    <w:qFormat/>
    <w:rsid w:val="004F6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8B3"/>
    <w:rPr>
      <w:i/>
      <w:iCs/>
      <w:color w:val="0F4761" w:themeColor="accent1" w:themeShade="BF"/>
    </w:rPr>
  </w:style>
  <w:style w:type="character" w:styleId="IntenseReference">
    <w:name w:val="Intense Reference"/>
    <w:basedOn w:val="DefaultParagraphFont"/>
    <w:uiPriority w:val="32"/>
    <w:qFormat/>
    <w:rsid w:val="004F6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Kesse, Samuel (2023)</dc:creator>
  <cp:keywords/>
  <dc:description/>
  <cp:lastModifiedBy>Kesse, Samuel (2023)</cp:lastModifiedBy>
  <cp:revision>2</cp:revision>
  <dcterms:created xsi:type="dcterms:W3CDTF">2026-01-19T01:38:00Z</dcterms:created>
  <dcterms:modified xsi:type="dcterms:W3CDTF">2026-01-19T02:26:00Z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449768f5-1cfe-4a33-b610-67794fd88863</vt:lpwstr>
  </property>
</Properties>
</file>