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A48B" w14:textId="77777777" w:rsidR="00522198" w:rsidRDefault="00522198">
      <w:pPr>
        <w:rPr>
          <w:rFonts w:ascii="Times New Roman" w:hAnsi="Times New Roman" w:cs="Times New Roman"/>
          <w:sz w:val="32"/>
          <w:szCs w:val="32"/>
        </w:rPr>
      </w:pPr>
    </w:p>
    <w:p w14:paraId="4999BB16" w14:textId="77777777" w:rsidR="00522198" w:rsidRDefault="00522198">
      <w:pPr>
        <w:rPr>
          <w:rFonts w:ascii="Times New Roman" w:hAnsi="Times New Roman" w:cs="Times New Roman"/>
          <w:sz w:val="32"/>
          <w:szCs w:val="32"/>
        </w:rPr>
      </w:pPr>
    </w:p>
    <w:p w14:paraId="23B27C66" w14:textId="77777777" w:rsidR="00522198" w:rsidRDefault="00522198">
      <w:pPr>
        <w:rPr>
          <w:rFonts w:ascii="Times New Roman" w:hAnsi="Times New Roman" w:cs="Times New Roman"/>
          <w:sz w:val="32"/>
          <w:szCs w:val="32"/>
        </w:rPr>
      </w:pPr>
    </w:p>
    <w:p w14:paraId="6D15530F" w14:textId="77777777" w:rsidR="00522198" w:rsidRDefault="00522198" w:rsidP="00522198">
      <w:pPr>
        <w:jc w:val="center"/>
        <w:rPr>
          <w:rFonts w:ascii="Times New Roman" w:hAnsi="Times New Roman" w:cs="Times New Roman"/>
          <w:sz w:val="32"/>
          <w:szCs w:val="32"/>
        </w:rPr>
      </w:pPr>
    </w:p>
    <w:p w14:paraId="003212E8" w14:textId="77777777" w:rsidR="00522198" w:rsidRDefault="00522198" w:rsidP="00522198">
      <w:pPr>
        <w:jc w:val="center"/>
        <w:rPr>
          <w:rFonts w:ascii="Times New Roman" w:hAnsi="Times New Roman" w:cs="Times New Roman"/>
          <w:sz w:val="32"/>
          <w:szCs w:val="32"/>
        </w:rPr>
      </w:pPr>
    </w:p>
    <w:p w14:paraId="14615901" w14:textId="77777777" w:rsidR="00522198" w:rsidRDefault="00522198" w:rsidP="00522198">
      <w:pPr>
        <w:jc w:val="center"/>
        <w:rPr>
          <w:rFonts w:ascii="Times New Roman" w:hAnsi="Times New Roman" w:cs="Times New Roman"/>
          <w:sz w:val="32"/>
          <w:szCs w:val="32"/>
        </w:rPr>
      </w:pPr>
    </w:p>
    <w:p w14:paraId="209E7856" w14:textId="77777777" w:rsidR="00522198" w:rsidRDefault="00522198" w:rsidP="00522198">
      <w:pPr>
        <w:jc w:val="center"/>
        <w:rPr>
          <w:rFonts w:ascii="Times New Roman" w:hAnsi="Times New Roman" w:cs="Times New Roman"/>
          <w:sz w:val="32"/>
          <w:szCs w:val="32"/>
        </w:rPr>
      </w:pPr>
    </w:p>
    <w:p w14:paraId="64098B83" w14:textId="77777777" w:rsidR="00522198" w:rsidRDefault="00522198" w:rsidP="00522198">
      <w:pPr>
        <w:jc w:val="center"/>
        <w:rPr>
          <w:rFonts w:ascii="Times New Roman" w:hAnsi="Times New Roman" w:cs="Times New Roman"/>
          <w:sz w:val="32"/>
          <w:szCs w:val="32"/>
        </w:rPr>
      </w:pPr>
    </w:p>
    <w:p w14:paraId="1756FC75" w14:textId="28115F9D" w:rsidR="00522198" w:rsidRDefault="00522198" w:rsidP="00522198">
      <w:pPr>
        <w:jc w:val="center"/>
        <w:rPr>
          <w:rFonts w:ascii="Times New Roman" w:hAnsi="Times New Roman" w:cs="Times New Roman"/>
          <w:sz w:val="32"/>
          <w:szCs w:val="32"/>
        </w:rPr>
      </w:pPr>
      <w:r>
        <w:rPr>
          <w:rFonts w:ascii="Times New Roman" w:hAnsi="Times New Roman" w:cs="Times New Roman"/>
          <w:sz w:val="32"/>
          <w:szCs w:val="32"/>
        </w:rPr>
        <w:t>Equity Research Note – BP plc (BP.L)</w:t>
      </w:r>
    </w:p>
    <w:p w14:paraId="043E5EA6" w14:textId="6AFCF050" w:rsidR="00522198" w:rsidRPr="006D1F12" w:rsidRDefault="006D1F12" w:rsidP="00522198">
      <w:pPr>
        <w:jc w:val="center"/>
        <w:rPr>
          <w:rFonts w:ascii="Times New Roman" w:hAnsi="Times New Roman" w:cs="Times New Roman"/>
          <w:i/>
          <w:iCs/>
          <w:sz w:val="32"/>
          <w:szCs w:val="32"/>
        </w:rPr>
      </w:pPr>
      <w:r>
        <w:rPr>
          <w:rFonts w:ascii="Times New Roman" w:hAnsi="Times New Roman" w:cs="Times New Roman"/>
          <w:i/>
          <w:iCs/>
          <w:sz w:val="32"/>
          <w:szCs w:val="32"/>
        </w:rPr>
        <w:t>18</w:t>
      </w:r>
      <w:r>
        <w:rPr>
          <w:rFonts w:ascii="Times New Roman" w:hAnsi="Times New Roman" w:cs="Times New Roman"/>
          <w:i/>
          <w:iCs/>
          <w:sz w:val="32"/>
          <w:szCs w:val="32"/>
          <w:vertAlign w:val="superscript"/>
        </w:rPr>
        <w:t>th</w:t>
      </w:r>
      <w:r>
        <w:rPr>
          <w:rFonts w:ascii="Times New Roman" w:hAnsi="Times New Roman" w:cs="Times New Roman"/>
          <w:i/>
          <w:iCs/>
          <w:sz w:val="32"/>
          <w:szCs w:val="32"/>
        </w:rPr>
        <w:t xml:space="preserve"> January 2026</w:t>
      </w:r>
    </w:p>
    <w:p w14:paraId="103D0598" w14:textId="77777777" w:rsidR="00522198" w:rsidRDefault="00522198" w:rsidP="00522198">
      <w:pPr>
        <w:pBdr>
          <w:bottom w:val="single" w:sz="12" w:space="1" w:color="auto"/>
        </w:pBdr>
        <w:jc w:val="center"/>
        <w:rPr>
          <w:rFonts w:ascii="Times New Roman" w:hAnsi="Times New Roman" w:cs="Times New Roman"/>
          <w:sz w:val="32"/>
          <w:szCs w:val="32"/>
        </w:rPr>
      </w:pPr>
    </w:p>
    <w:p w14:paraId="1F7385A6" w14:textId="73255963" w:rsidR="00522198" w:rsidRDefault="00522198" w:rsidP="00522198">
      <w:pPr>
        <w:jc w:val="center"/>
        <w:rPr>
          <w:rFonts w:ascii="Times New Roman" w:hAnsi="Times New Roman" w:cs="Times New Roman"/>
          <w:sz w:val="32"/>
          <w:szCs w:val="32"/>
        </w:rPr>
      </w:pPr>
    </w:p>
    <w:p w14:paraId="39557089" w14:textId="7C6C7D7B" w:rsidR="00522198" w:rsidRDefault="00522198" w:rsidP="00522198">
      <w:pPr>
        <w:pBdr>
          <w:bottom w:val="single" w:sz="12" w:space="1" w:color="auto"/>
        </w:pBdr>
        <w:rPr>
          <w:rFonts w:ascii="Times New Roman" w:hAnsi="Times New Roman" w:cs="Times New Roman"/>
          <w:b/>
          <w:bCs/>
          <w:sz w:val="28"/>
          <w:szCs w:val="28"/>
        </w:rPr>
      </w:pPr>
      <w:r>
        <w:rPr>
          <w:rFonts w:ascii="Times New Roman" w:hAnsi="Times New Roman" w:cs="Times New Roman"/>
          <w:sz w:val="32"/>
          <w:szCs w:val="32"/>
        </w:rPr>
        <w:br w:type="page"/>
      </w:r>
    </w:p>
    <w:p w14:paraId="2CA42E5E" w14:textId="77777777" w:rsidR="00522198" w:rsidRPr="00522198" w:rsidRDefault="00522198" w:rsidP="00522198">
      <w:pPr>
        <w:pBdr>
          <w:bottom w:val="single" w:sz="12" w:space="1" w:color="auto"/>
        </w:pBdr>
        <w:rPr>
          <w:rFonts w:ascii="Times New Roman" w:hAnsi="Times New Roman" w:cs="Times New Roman"/>
          <w:sz w:val="32"/>
          <w:szCs w:val="32"/>
        </w:rPr>
      </w:pPr>
    </w:p>
    <w:p w14:paraId="364E7248" w14:textId="5F1B67B5" w:rsidR="00522198" w:rsidRDefault="00522198" w:rsidP="00522198">
      <w:pPr>
        <w:rPr>
          <w:rFonts w:ascii="Times New Roman" w:hAnsi="Times New Roman" w:cs="Times New Roman"/>
          <w:b/>
          <w:bCs/>
          <w:sz w:val="28"/>
          <w:szCs w:val="28"/>
        </w:rPr>
      </w:pPr>
      <w:r>
        <w:rPr>
          <w:rFonts w:ascii="Times New Roman" w:hAnsi="Times New Roman" w:cs="Times New Roman"/>
          <w:b/>
          <w:bCs/>
          <w:sz w:val="28"/>
          <w:szCs w:val="28"/>
        </w:rPr>
        <w:t xml:space="preserve">1. Business Overview</w:t>
      </w:r>
    </w:p>
    <w:p w14:paraId="577F7ACE" w14:textId="63169DE0" w:rsidR="00686D41" w:rsidRDefault="00A149D4" w:rsidP="00522198">
      <w:pPr>
        <w:rPr>
          <w:rFonts w:ascii="Times New Roman" w:hAnsi="Times New Roman" w:cs="Times New Roman"/>
        </w:rPr>
      </w:pPr>
      <w:r>
        <w:rPr>
          <w:rFonts w:ascii="Times New Roman" w:hAnsi="Times New Roman" w:cs="Times New Roman"/>
        </w:rPr>
        <w:t xml:space="preserve">BP is a global integrated energy company that operates across the low-carbon, oil and gas sectors. Its operations can be divided into three main segments – upstream, which is to do with oil and gas production and hydrocarbon cash flow; downstream, which is centred around refining customer-facing energy products; and Gas &amp; Low Carbon Energy, including renewables, biofuels, hydrogen and carbon capture projects. BP’s business spans across 61 countries, which provides a diversified global exposure. The company’s performance is primarily impacted by oil and gas prices, global energy demands and regulatory developments. BP leverages its integrated structure in order to manage risks across the value chain while also investing in renewable energy to align with the transition to a lower-carbon economy. As a result, the company can respond dynamically to both market cycles and long-term energy trends.</w:t>
      </w:r>
    </w:p>
    <w:p w14:paraId="724C3380" w14:textId="77777777" w:rsidR="00686D41" w:rsidRPr="00686D41" w:rsidRDefault="00686D41" w:rsidP="00522198">
      <w:pPr>
        <w:rPr>
          <w:rFonts w:ascii="Times New Roman" w:hAnsi="Times New Roman" w:cs="Times New Roman"/>
        </w:rPr>
      </w:pPr>
    </w:p>
    <w:p w14:paraId="48E827DB" w14:textId="77777777" w:rsidR="00522198" w:rsidRDefault="00522198" w:rsidP="00522198">
      <w:pPr>
        <w:pBdr>
          <w:bottom w:val="single" w:sz="12" w:space="1" w:color="auto"/>
        </w:pBdr>
        <w:rPr>
          <w:rFonts w:ascii="Times New Roman" w:hAnsi="Times New Roman" w:cs="Times New Roman"/>
          <w:b/>
          <w:bCs/>
          <w:sz w:val="28"/>
          <w:szCs w:val="28"/>
        </w:rPr>
      </w:pPr>
    </w:p>
    <w:p w14:paraId="5D1C3B24" w14:textId="675F32ED" w:rsidR="00C05FF7" w:rsidRDefault="00C05FF7" w:rsidP="00522198">
      <w:pPr>
        <w:rPr>
          <w:rFonts w:ascii="Times New Roman" w:hAnsi="Times New Roman" w:cs="Times New Roman"/>
          <w:b/>
          <w:bCs/>
          <w:sz w:val="28"/>
          <w:szCs w:val="28"/>
        </w:rPr>
      </w:pPr>
      <w:r>
        <w:rPr>
          <w:rFonts w:ascii="Times New Roman" w:hAnsi="Times New Roman" w:cs="Times New Roman"/>
          <w:b/>
          <w:bCs/>
          <w:sz w:val="28"/>
          <w:szCs w:val="28"/>
        </w:rPr>
        <w:t>2. Financial Performance (3-5 years)</w:t>
      </w:r>
    </w:p>
    <w:tbl>
      <w:tblPr>
        <w:tblStyle w:val="TableGrid"/>
        <w:tblW w:w="0" w:type="auto"/>
        <w:tblLook w:val="04A0" w:firstRow="1" w:lastRow="0" w:firstColumn="1" w:lastColumn="0" w:noHBand="0" w:noVBand="1"/>
      </w:tblPr>
      <w:tblGrid>
        <w:gridCol w:w="3005"/>
        <w:gridCol w:w="3005"/>
        <w:gridCol w:w="3006"/>
      </w:tblGrid>
      <w:tr w:rsidR="005848C6" w14:paraId="58033BA0" w14:textId="77777777" w:rsidTr="005848C6">
        <w:tc>
          <w:tcPr>
            <w:tcW w:w="3005" w:type="dxa"/>
          </w:tcPr>
          <w:p w14:paraId="76AC012E" w14:textId="4F8915DE" w:rsidR="005848C6" w:rsidRPr="005848C6" w:rsidRDefault="005848C6" w:rsidP="00522198">
            <w:pPr>
              <w:rPr>
                <w:rFonts w:ascii="Times New Roman" w:hAnsi="Times New Roman" w:cs="Times New Roman"/>
                <w:b/>
                <w:bCs/>
              </w:rPr>
            </w:pPr>
            <w:r>
              <w:rPr>
                <w:rFonts w:ascii="Times New Roman" w:hAnsi="Times New Roman" w:cs="Times New Roman"/>
                <w:b/>
                <w:bCs/>
              </w:rPr>
              <w:t>Year</w:t>
            </w:r>
          </w:p>
        </w:tc>
        <w:tc>
          <w:tcPr>
            <w:tcW w:w="3005" w:type="dxa"/>
          </w:tcPr>
          <w:p w14:paraId="3FB62D29" w14:textId="5C0E9053" w:rsidR="005848C6" w:rsidRPr="005848C6" w:rsidRDefault="005848C6" w:rsidP="00522198">
            <w:pPr>
              <w:rPr>
                <w:rFonts w:ascii="Times New Roman" w:hAnsi="Times New Roman" w:cs="Times New Roman"/>
                <w:b/>
                <w:bCs/>
              </w:rPr>
            </w:pPr>
            <w:r>
              <w:rPr>
                <w:rFonts w:ascii="Times New Roman" w:hAnsi="Times New Roman" w:cs="Times New Roman"/>
                <w:b/>
                <w:bCs/>
              </w:rPr>
              <w:t>Revenue (£bn)</w:t>
            </w:r>
          </w:p>
        </w:tc>
        <w:tc>
          <w:tcPr>
            <w:tcW w:w="3006" w:type="dxa"/>
          </w:tcPr>
          <w:p w14:paraId="4AEF43A7" w14:textId="3E00824D" w:rsidR="005848C6" w:rsidRPr="005848C6" w:rsidRDefault="005848C6" w:rsidP="00522198">
            <w:pPr>
              <w:rPr>
                <w:rFonts w:ascii="Times New Roman" w:hAnsi="Times New Roman" w:cs="Times New Roman"/>
                <w:b/>
                <w:bCs/>
              </w:rPr>
            </w:pPr>
            <w:r>
              <w:rPr>
                <w:rFonts w:ascii="Times New Roman" w:hAnsi="Times New Roman" w:cs="Times New Roman"/>
                <w:b/>
                <w:bCs/>
              </w:rPr>
              <w:t>Net Income (£bn)</w:t>
            </w:r>
          </w:p>
        </w:tc>
      </w:tr>
      <w:tr w:rsidR="005848C6" w14:paraId="14183334" w14:textId="77777777" w:rsidTr="005848C6">
        <w:tc>
          <w:tcPr>
            <w:tcW w:w="3005" w:type="dxa"/>
          </w:tcPr>
          <w:p w14:paraId="0F1360CA" w14:textId="23D6F7F4" w:rsidR="005848C6" w:rsidRPr="005848C6" w:rsidRDefault="005848C6" w:rsidP="00522198">
            <w:pPr>
              <w:rPr>
                <w:rFonts w:ascii="Times New Roman" w:hAnsi="Times New Roman" w:cs="Times New Roman"/>
              </w:rPr>
            </w:pPr>
            <w:r>
              <w:rPr>
                <w:rFonts w:ascii="Times New Roman" w:hAnsi="Times New Roman" w:cs="Times New Roman"/>
              </w:rPr>
              <w:t>2021</w:t>
            </w:r>
          </w:p>
        </w:tc>
        <w:tc>
          <w:tcPr>
            <w:tcW w:w="3005" w:type="dxa"/>
          </w:tcPr>
          <w:p w14:paraId="7574DBED" w14:textId="0895F62B" w:rsidR="005848C6" w:rsidRPr="005848C6" w:rsidRDefault="005848C6" w:rsidP="00522198">
            <w:pPr>
              <w:rPr>
                <w:rFonts w:ascii="Times New Roman" w:hAnsi="Times New Roman" w:cs="Times New Roman"/>
              </w:rPr>
            </w:pPr>
            <w:r>
              <w:rPr>
                <w:rFonts w:ascii="Times New Roman" w:hAnsi="Times New Roman" w:cs="Times New Roman"/>
              </w:rPr>
              <w:t>157.7</w:t>
            </w:r>
          </w:p>
        </w:tc>
        <w:tc>
          <w:tcPr>
            <w:tcW w:w="3006" w:type="dxa"/>
          </w:tcPr>
          <w:p w14:paraId="1F261C4B" w14:textId="49034DC6" w:rsidR="005848C6" w:rsidRPr="005848C6" w:rsidRDefault="005848C6" w:rsidP="00522198">
            <w:pPr>
              <w:rPr>
                <w:rFonts w:ascii="Times New Roman" w:hAnsi="Times New Roman" w:cs="Times New Roman"/>
              </w:rPr>
            </w:pPr>
            <w:r>
              <w:rPr>
                <w:rFonts w:ascii="Times New Roman" w:hAnsi="Times New Roman" w:cs="Times New Roman"/>
              </w:rPr>
              <w:t>7.6</w:t>
            </w:r>
          </w:p>
        </w:tc>
      </w:tr>
      <w:tr w:rsidR="005848C6" w14:paraId="4BB1734D" w14:textId="77777777" w:rsidTr="005848C6">
        <w:tc>
          <w:tcPr>
            <w:tcW w:w="3005" w:type="dxa"/>
          </w:tcPr>
          <w:p w14:paraId="7F711014" w14:textId="7D5017B1" w:rsidR="005848C6" w:rsidRPr="005848C6" w:rsidRDefault="005848C6" w:rsidP="00522198">
            <w:pPr>
              <w:rPr>
                <w:rFonts w:ascii="Times New Roman" w:hAnsi="Times New Roman" w:cs="Times New Roman"/>
              </w:rPr>
            </w:pPr>
            <w:r>
              <w:rPr>
                <w:rFonts w:ascii="Times New Roman" w:hAnsi="Times New Roman" w:cs="Times New Roman"/>
              </w:rPr>
              <w:t>2022</w:t>
            </w:r>
          </w:p>
        </w:tc>
        <w:tc>
          <w:tcPr>
            <w:tcW w:w="3005" w:type="dxa"/>
          </w:tcPr>
          <w:p w14:paraId="2F82C654" w14:textId="5DC81C7F" w:rsidR="005848C6" w:rsidRPr="005848C6" w:rsidRDefault="005848C6" w:rsidP="00522198">
            <w:pPr>
              <w:rPr>
                <w:rFonts w:ascii="Times New Roman" w:hAnsi="Times New Roman" w:cs="Times New Roman"/>
              </w:rPr>
            </w:pPr>
            <w:r>
              <w:rPr>
                <w:rFonts w:ascii="Times New Roman" w:hAnsi="Times New Roman" w:cs="Times New Roman"/>
              </w:rPr>
              <w:t>241.3</w:t>
            </w:r>
          </w:p>
        </w:tc>
        <w:tc>
          <w:tcPr>
            <w:tcW w:w="3006" w:type="dxa"/>
          </w:tcPr>
          <w:p w14:paraId="46FF501E" w14:textId="7FC98BEA" w:rsidR="005848C6" w:rsidRPr="005848C6" w:rsidRDefault="005848C6" w:rsidP="00522198">
            <w:pPr>
              <w:rPr>
                <w:rFonts w:ascii="Times New Roman" w:hAnsi="Times New Roman" w:cs="Times New Roman"/>
              </w:rPr>
            </w:pPr>
            <w:r>
              <w:rPr>
                <w:rFonts w:ascii="Times New Roman" w:hAnsi="Times New Roman" w:cs="Times New Roman"/>
              </w:rPr>
              <w:t>-2.5</w:t>
            </w:r>
          </w:p>
        </w:tc>
      </w:tr>
      <w:tr w:rsidR="005848C6" w14:paraId="220B3AC5" w14:textId="77777777" w:rsidTr="005848C6">
        <w:tc>
          <w:tcPr>
            <w:tcW w:w="3005" w:type="dxa"/>
          </w:tcPr>
          <w:p w14:paraId="71A13A18" w14:textId="04AB5DE4" w:rsidR="005848C6" w:rsidRPr="005848C6" w:rsidRDefault="005848C6" w:rsidP="00522198">
            <w:pPr>
              <w:rPr>
                <w:rFonts w:ascii="Times New Roman" w:hAnsi="Times New Roman" w:cs="Times New Roman"/>
              </w:rPr>
            </w:pPr>
            <w:r>
              <w:rPr>
                <w:rFonts w:ascii="Times New Roman" w:hAnsi="Times New Roman" w:cs="Times New Roman"/>
              </w:rPr>
              <w:t>2023</w:t>
            </w:r>
          </w:p>
        </w:tc>
        <w:tc>
          <w:tcPr>
            <w:tcW w:w="3005" w:type="dxa"/>
          </w:tcPr>
          <w:p w14:paraId="513EA4DA" w14:textId="0F338FC8" w:rsidR="005848C6" w:rsidRPr="005848C6" w:rsidRDefault="005848C6" w:rsidP="00522198">
            <w:pPr>
              <w:rPr>
                <w:rFonts w:ascii="Times New Roman" w:hAnsi="Times New Roman" w:cs="Times New Roman"/>
              </w:rPr>
            </w:pPr>
            <w:r>
              <w:rPr>
                <w:rFonts w:ascii="Times New Roman" w:hAnsi="Times New Roman" w:cs="Times New Roman"/>
              </w:rPr>
              <w:t>210.1</w:t>
            </w:r>
          </w:p>
        </w:tc>
        <w:tc>
          <w:tcPr>
            <w:tcW w:w="3006" w:type="dxa"/>
          </w:tcPr>
          <w:p w14:paraId="6B471C07" w14:textId="74D9BB93" w:rsidR="005848C6" w:rsidRPr="005848C6" w:rsidRDefault="005848C6" w:rsidP="00522198">
            <w:pPr>
              <w:rPr>
                <w:rFonts w:ascii="Times New Roman" w:hAnsi="Times New Roman" w:cs="Times New Roman"/>
              </w:rPr>
            </w:pPr>
            <w:r>
              <w:rPr>
                <w:rFonts w:ascii="Times New Roman" w:hAnsi="Times New Roman" w:cs="Times New Roman"/>
              </w:rPr>
              <w:t>15.2</w:t>
            </w:r>
          </w:p>
        </w:tc>
      </w:tr>
      <w:tr w:rsidR="005848C6" w14:paraId="0841D301" w14:textId="77777777" w:rsidTr="005848C6">
        <w:tc>
          <w:tcPr>
            <w:tcW w:w="3005" w:type="dxa"/>
          </w:tcPr>
          <w:p w14:paraId="23DA65B8" w14:textId="4A1A2811" w:rsidR="005848C6" w:rsidRPr="005848C6" w:rsidRDefault="005848C6" w:rsidP="00522198">
            <w:pPr>
              <w:rPr>
                <w:rFonts w:ascii="Times New Roman" w:hAnsi="Times New Roman" w:cs="Times New Roman"/>
              </w:rPr>
            </w:pPr>
            <w:r>
              <w:rPr>
                <w:rFonts w:ascii="Times New Roman" w:hAnsi="Times New Roman" w:cs="Times New Roman"/>
              </w:rPr>
              <w:t>2024</w:t>
            </w:r>
          </w:p>
        </w:tc>
        <w:tc>
          <w:tcPr>
            <w:tcW w:w="3005" w:type="dxa"/>
          </w:tcPr>
          <w:p w14:paraId="0C7D08A2" w14:textId="32F75BD9" w:rsidR="005848C6" w:rsidRPr="005848C6" w:rsidRDefault="005848C6" w:rsidP="00522198">
            <w:pPr>
              <w:rPr>
                <w:rFonts w:ascii="Times New Roman" w:hAnsi="Times New Roman" w:cs="Times New Roman"/>
              </w:rPr>
            </w:pPr>
            <w:r>
              <w:rPr>
                <w:rFonts w:ascii="Times New Roman" w:hAnsi="Times New Roman" w:cs="Times New Roman"/>
              </w:rPr>
              <w:t>189.2</w:t>
            </w:r>
          </w:p>
        </w:tc>
        <w:tc>
          <w:tcPr>
            <w:tcW w:w="3006" w:type="dxa"/>
          </w:tcPr>
          <w:p w14:paraId="33C0D896" w14:textId="2CDFE56A" w:rsidR="005848C6" w:rsidRPr="005848C6" w:rsidRDefault="005848C6" w:rsidP="00522198">
            <w:pPr>
              <w:rPr>
                <w:rFonts w:ascii="Times New Roman" w:hAnsi="Times New Roman" w:cs="Times New Roman"/>
              </w:rPr>
            </w:pPr>
            <w:r>
              <w:rPr>
                <w:rFonts w:ascii="Times New Roman" w:hAnsi="Times New Roman" w:cs="Times New Roman"/>
              </w:rPr>
              <w:t>0.38</w:t>
            </w:r>
          </w:p>
        </w:tc>
      </w:tr>
      <w:tr w:rsidR="005848C6" w14:paraId="524D32EF" w14:textId="77777777" w:rsidTr="005848C6">
        <w:tc>
          <w:tcPr>
            <w:tcW w:w="3005" w:type="dxa"/>
          </w:tcPr>
          <w:p w14:paraId="60487F0A" w14:textId="09459D4B" w:rsidR="005848C6" w:rsidRPr="005848C6" w:rsidRDefault="005848C6" w:rsidP="00522198">
            <w:pPr>
              <w:rPr>
                <w:rFonts w:ascii="Times New Roman" w:hAnsi="Times New Roman" w:cs="Times New Roman"/>
              </w:rPr>
            </w:pPr>
            <w:r>
              <w:rPr>
                <w:rFonts w:ascii="Times New Roman" w:hAnsi="Times New Roman" w:cs="Times New Roman"/>
              </w:rPr>
              <w:t>TTM</w:t>
            </w:r>
          </w:p>
        </w:tc>
        <w:tc>
          <w:tcPr>
            <w:tcW w:w="3005" w:type="dxa"/>
          </w:tcPr>
          <w:p w14:paraId="583E8CE1" w14:textId="10E00D50" w:rsidR="005848C6" w:rsidRPr="005848C6" w:rsidRDefault="005848C6" w:rsidP="00522198">
            <w:pPr>
              <w:rPr>
                <w:rFonts w:ascii="Times New Roman" w:hAnsi="Times New Roman" w:cs="Times New Roman"/>
              </w:rPr>
            </w:pPr>
            <w:r>
              <w:rPr>
                <w:rFonts w:ascii="Times New Roman" w:hAnsi="Times New Roman" w:cs="Times New Roman"/>
              </w:rPr>
              <w:t>187.7</w:t>
            </w:r>
          </w:p>
        </w:tc>
        <w:tc>
          <w:tcPr>
            <w:tcW w:w="3006" w:type="dxa"/>
          </w:tcPr>
          <w:p w14:paraId="72AF834E" w14:textId="3B4C73F6" w:rsidR="005848C6" w:rsidRPr="005848C6" w:rsidRDefault="005848C6" w:rsidP="00522198">
            <w:pPr>
              <w:rPr>
                <w:rFonts w:ascii="Times New Roman" w:hAnsi="Times New Roman" w:cs="Times New Roman"/>
              </w:rPr>
            </w:pPr>
            <w:r>
              <w:rPr>
                <w:rFonts w:ascii="Times New Roman" w:hAnsi="Times New Roman" w:cs="Times New Roman"/>
              </w:rPr>
              <w:t>1.52</w:t>
            </w:r>
          </w:p>
        </w:tc>
      </w:tr>
    </w:tbl>
    <w:p w14:paraId="212A9A9A" w14:textId="77777777" w:rsidR="00C05FF7" w:rsidRDefault="00C05FF7" w:rsidP="00522198">
      <w:pPr>
        <w:rPr>
          <w:rFonts w:ascii="Times New Roman" w:hAnsi="Times New Roman" w:cs="Times New Roman"/>
          <w:b/>
          <w:bCs/>
          <w:sz w:val="28"/>
          <w:szCs w:val="28"/>
        </w:rPr>
      </w:pPr>
    </w:p>
    <w:p w14:paraId="090A034E" w14:textId="448B266C" w:rsidR="00C05FF7" w:rsidRDefault="005848C6" w:rsidP="00686D41">
      <w:pPr>
        <w:rPr>
          <w:rFonts w:ascii="Times New Roman" w:hAnsi="Times New Roman" w:cs="Times New Roman"/>
        </w:rPr>
      </w:pPr>
      <w:r>
        <w:rPr>
          <w:rFonts w:ascii="Times New Roman" w:hAnsi="Times New Roman" w:cs="Times New Roman"/>
        </w:rPr>
        <w:t xml:space="preserve">Over the last 5 years, BP’s revenue and profitability have shown a lot of volatility which has been as a result of the cyclical nature of the energy sector. Revenue peaked in 2022 at £241.3 bn but then by 2024 it had declined to £189.2 bn, largely due to fluctuations in oil and gas prices. Net income also followed a similar pattern in its variability, going from a loss of £2.5 bn in 2022 to a gain of £15.2 bn in 2023, then it normalised to £0.38 bn in 2024. Overall, this performance goes to show BP’s exposure to commodity price swings, operational adjustments and market conditions. In conclusion, while the top-line growth has been uneven, BP has maintained positive earning over the most recent 12 months (£1.52 bn TTM), which illustrates resilience in its energy model.</w:t>
      </w:r>
    </w:p>
    <w:p w14:paraId="48F6AE69" w14:textId="77777777" w:rsidR="00686D41" w:rsidRDefault="00686D41" w:rsidP="00686D41">
      <w:pPr>
        <w:rPr>
          <w:rFonts w:ascii="Times New Roman" w:hAnsi="Times New Roman" w:cs="Times New Roman"/>
        </w:rPr>
      </w:pPr>
    </w:p>
    <w:p w14:paraId="3C438D21" w14:textId="77777777" w:rsidR="00A97E5D" w:rsidRPr="00686D41" w:rsidRDefault="00A97E5D" w:rsidP="00686D41">
      <w:pPr>
        <w:rPr>
          <w:rFonts w:ascii="Times New Roman" w:hAnsi="Times New Roman" w:cs="Times New Roman"/>
        </w:rPr>
      </w:pPr>
    </w:p>
    <w:p w14:paraId="4E6DF0F9" w14:textId="77777777" w:rsidR="00C05FF7" w:rsidRDefault="00C05FF7" w:rsidP="00522198">
      <w:pPr>
        <w:pBdr>
          <w:bottom w:val="single" w:sz="12" w:space="1" w:color="auto"/>
        </w:pBdr>
        <w:rPr>
          <w:rFonts w:ascii="Times New Roman" w:hAnsi="Times New Roman" w:cs="Times New Roman"/>
          <w:b/>
          <w:bCs/>
          <w:sz w:val="28"/>
          <w:szCs w:val="28"/>
        </w:rPr>
      </w:pPr>
    </w:p>
    <w:p w14:paraId="3C34711C" w14:textId="77777777" w:rsidR="00C05FF7" w:rsidRDefault="00C05FF7" w:rsidP="00522198">
      <w:pPr>
        <w:pBdr>
          <w:bottom w:val="single" w:sz="12" w:space="1" w:color="auto"/>
        </w:pBdr>
        <w:rPr>
          <w:rFonts w:ascii="Times New Roman" w:hAnsi="Times New Roman" w:cs="Times New Roman"/>
          <w:b/>
          <w:bCs/>
          <w:sz w:val="28"/>
          <w:szCs w:val="28"/>
        </w:rPr>
      </w:pPr>
    </w:p>
    <w:p w14:paraId="5A65F70D" w14:textId="1C8C1E1F" w:rsidR="00C05FF7" w:rsidRDefault="00C05FF7" w:rsidP="00522198">
      <w:pPr>
        <w:rPr>
          <w:rFonts w:ascii="Times New Roman" w:hAnsi="Times New Roman" w:cs="Times New Roman"/>
          <w:b/>
          <w:bCs/>
          <w:sz w:val="28"/>
          <w:szCs w:val="28"/>
        </w:rPr>
      </w:pPr>
      <w:r>
        <w:rPr>
          <w:rFonts w:ascii="Times New Roman" w:hAnsi="Times New Roman" w:cs="Times New Roman"/>
          <w:b/>
          <w:bCs/>
          <w:sz w:val="28"/>
          <w:szCs w:val="28"/>
        </w:rPr>
        <w:lastRenderedPageBreak/>
        <w:t>3. Valuation</w:t>
      </w:r>
    </w:p>
    <w:p w14:paraId="0DCAC795" w14:textId="3C7E54B0" w:rsidR="00C05FF7" w:rsidRDefault="00301CF8" w:rsidP="00522198">
      <w:pPr>
        <w:rPr>
          <w:rFonts w:ascii="Times New Roman" w:hAnsi="Times New Roman" w:cs="Times New Roman"/>
        </w:rPr>
      </w:pPr>
      <w:r>
        <w:rPr>
          <w:rFonts w:ascii="Times New Roman" w:hAnsi="Times New Roman" w:cs="Times New Roman"/>
        </w:rPr>
        <w:t xml:space="preserve">Using a price-to-earnings (P/E) framework, BP currently trades on a trailing P/E of 57.4x, which is significantly higher than its peer, Shell’s trailing P/E of 15.0x. This goes to indicate that there is an elevated level of market expectations for earnings growth after the recent volatility. On the forward basis, BP’s P/E of 12.0x is slightly above Shell’s 11.2x, suggesting that expectations for the coming 12 months are more in line across the sector. The wide divergence in trailing P/E perhaps illustrates BP’s sensitivity to historical earnings volatility, especially from commodity price swings. As a result, it seems BP is fairly valued relative to peers on forward estimates, but more expensive on trailing performance. Considering the integrated business model of the company, exposure to oil price cycles and ongoing low-carbon investments, a Hold recommendation I believe is appropriate at the current levels, as there is potential upside if operational efficiencies and energy transition projects deliver as planned.</w:t>
      </w:r>
    </w:p>
    <w:p w14:paraId="69A04A0C" w14:textId="77777777" w:rsidR="00BF0699" w:rsidRPr="00BF0699" w:rsidRDefault="00BF0699" w:rsidP="00522198">
      <w:pPr>
        <w:rPr>
          <w:rFonts w:ascii="Times New Roman" w:hAnsi="Times New Roman" w:cs="Times New Roman"/>
        </w:rPr>
      </w:pPr>
    </w:p>
    <w:p w14:paraId="2BEC1746" w14:textId="77777777" w:rsidR="00C05FF7" w:rsidRDefault="00C05FF7" w:rsidP="00522198">
      <w:pPr>
        <w:pBdr>
          <w:bottom w:val="single" w:sz="12" w:space="1" w:color="auto"/>
        </w:pBdr>
        <w:rPr>
          <w:rFonts w:ascii="Times New Roman" w:hAnsi="Times New Roman" w:cs="Times New Roman"/>
          <w:b/>
          <w:bCs/>
          <w:sz w:val="28"/>
          <w:szCs w:val="28"/>
        </w:rPr>
      </w:pPr>
    </w:p>
    <w:p w14:paraId="547AFA37" w14:textId="6F007679" w:rsidR="00C05FF7" w:rsidRDefault="00C05FF7" w:rsidP="00522198">
      <w:pPr>
        <w:rPr>
          <w:rFonts w:ascii="Times New Roman" w:hAnsi="Times New Roman" w:cs="Times New Roman"/>
          <w:b/>
          <w:bCs/>
          <w:sz w:val="28"/>
          <w:szCs w:val="28"/>
        </w:rPr>
      </w:pPr>
      <w:r>
        <w:rPr>
          <w:rFonts w:ascii="Times New Roman" w:hAnsi="Times New Roman" w:cs="Times New Roman"/>
          <w:b/>
          <w:bCs/>
          <w:sz w:val="28"/>
          <w:szCs w:val="28"/>
        </w:rPr>
        <w:t>4. Key Risks</w:t>
      </w:r>
    </w:p>
    <w:p w14:paraId="3590C816" w14:textId="2D81CEE3" w:rsidR="00C05FF7" w:rsidRDefault="00A97E5D" w:rsidP="00522198">
      <w:pPr>
        <w:rPr>
          <w:rFonts w:ascii="Times New Roman" w:hAnsi="Times New Roman" w:cs="Times New Roman"/>
        </w:rPr>
      </w:pPr>
      <w:r>
        <w:rPr>
          <w:rFonts w:ascii="Times New Roman" w:hAnsi="Times New Roman" w:cs="Times New Roman"/>
        </w:rPr>
        <w:t xml:space="preserve">1. Commodity Price Volatility – Due to it being an oil and gas producer, BP’s earnings are highly sensitive to any fluctuations in oil and gas prices. A sustained drop in these prices could greatly reduce its revenue and cash flow. </w:t>
      </w:r>
    </w:p>
    <w:p w14:paraId="2FE91EF8" w14:textId="5CD63130" w:rsidR="00A97E5D" w:rsidRDefault="00A97E5D" w:rsidP="00522198">
      <w:pPr>
        <w:rPr>
          <w:rFonts w:ascii="Times New Roman" w:hAnsi="Times New Roman" w:cs="Times New Roman"/>
        </w:rPr>
      </w:pPr>
      <w:r>
        <w:rPr>
          <w:rFonts w:ascii="Times New Roman" w:hAnsi="Times New Roman" w:cs="Times New Roman"/>
        </w:rPr>
        <w:t>2. Regulatory and Environment Risk – BP operates in over 60 countries worldwide, so it’s subject to varying environmental and energy regulations. If there were to be stricter policies or penalties for emissions, costs could increase or certain operations may be limited.</w:t>
      </w:r>
    </w:p>
    <w:p w14:paraId="02AB12D4" w14:textId="5D58D184" w:rsidR="00A97E5D" w:rsidRDefault="00A97E5D" w:rsidP="00522198">
      <w:pPr>
        <w:rPr>
          <w:rFonts w:ascii="Times New Roman" w:hAnsi="Times New Roman" w:cs="Times New Roman"/>
        </w:rPr>
      </w:pPr>
      <w:r>
        <w:rPr>
          <w:rFonts w:ascii="Times New Roman" w:hAnsi="Times New Roman" w:cs="Times New Roman"/>
        </w:rPr>
        <w:t>3. Transition &amp; Technology Risk – BP is currently investing very heavily in low-carbon energy and decarbonization measures. Any delays or underperformance in this arena could impact future growth and decrease investor confidence.</w:t>
      </w:r>
    </w:p>
    <w:p w14:paraId="1EEE3A21" w14:textId="2A83FE6B" w:rsidR="00A97E5D" w:rsidRDefault="00A97E5D" w:rsidP="00522198">
      <w:pPr>
        <w:rPr>
          <w:rFonts w:ascii="Times New Roman" w:hAnsi="Times New Roman" w:cs="Times New Roman"/>
        </w:rPr>
      </w:pPr>
      <w:r>
        <w:rPr>
          <w:rFonts w:ascii="Times New Roman" w:hAnsi="Times New Roman" w:cs="Times New Roman"/>
        </w:rPr>
        <w:t xml:space="preserve">4. Operational and Safety Risk – Exploration, production and refinement inherently carry operational risks such as accidents or equipment failures, which can lead to financial losses or reputational damage.</w:t>
      </w:r>
    </w:p>
    <w:p w14:paraId="13972896" w14:textId="37F9B10C" w:rsidR="006E00DD" w:rsidRPr="00A97E5D" w:rsidRDefault="006E00DD" w:rsidP="00522198">
      <w:pPr>
        <w:rPr>
          <w:rFonts w:ascii="Times New Roman" w:hAnsi="Times New Roman" w:cs="Times New Roman"/>
        </w:rPr>
      </w:pPr>
      <w:r>
        <w:rPr>
          <w:rFonts w:ascii="Times New Roman" w:hAnsi="Times New Roman" w:cs="Times New Roman"/>
        </w:rPr>
        <w:t xml:space="preserve">Overall, BP’s integrated model and its pervasive global process increase its diversification and help mitigate some risks. However, its earnings still remain sensitive to commodity cycles, regulatory shifts and the execution of its energy transition strategy. </w:t>
      </w:r>
    </w:p>
    <w:p w14:paraId="7BC6E51F" w14:textId="77777777" w:rsidR="00C05FF7" w:rsidRDefault="00C05FF7" w:rsidP="00522198">
      <w:pPr>
        <w:rPr>
          <w:rFonts w:ascii="Times New Roman" w:hAnsi="Times New Roman" w:cs="Times New Roman"/>
          <w:b/>
          <w:bCs/>
          <w:sz w:val="28"/>
          <w:szCs w:val="28"/>
        </w:rPr>
      </w:pPr>
    </w:p>
    <w:p w14:paraId="5F9BFE87" w14:textId="77777777" w:rsidR="00C05FF7" w:rsidRDefault="00C05FF7" w:rsidP="00522198">
      <w:pPr>
        <w:pBdr>
          <w:bottom w:val="single" w:sz="12" w:space="1" w:color="auto"/>
        </w:pBdr>
        <w:rPr>
          <w:rFonts w:ascii="Times New Roman" w:hAnsi="Times New Roman" w:cs="Times New Roman"/>
          <w:b/>
          <w:bCs/>
          <w:sz w:val="28"/>
          <w:szCs w:val="28"/>
        </w:rPr>
      </w:pPr>
    </w:p>
    <w:p w14:paraId="48D78F3B" w14:textId="46985BF6" w:rsidR="00C05FF7" w:rsidRDefault="00C05FF7" w:rsidP="00522198">
      <w:pPr>
        <w:rPr>
          <w:rFonts w:ascii="Times New Roman" w:hAnsi="Times New Roman" w:cs="Times New Roman"/>
          <w:b/>
          <w:bCs/>
          <w:sz w:val="28"/>
          <w:szCs w:val="28"/>
        </w:rPr>
      </w:pPr>
      <w:r>
        <w:rPr>
          <w:rFonts w:ascii="Times New Roman" w:hAnsi="Times New Roman" w:cs="Times New Roman"/>
          <w:b/>
          <w:bCs/>
          <w:sz w:val="28"/>
          <w:szCs w:val="28"/>
        </w:rPr>
        <w:t xml:space="preserve">5. Catalysts / Drivers</w:t>
      </w:r>
    </w:p>
    <w:p w14:paraId="2C72C18A" w14:textId="3540A272" w:rsidR="006E00DD" w:rsidRDefault="006E00DD" w:rsidP="00522198">
      <w:pPr>
        <w:rPr>
          <w:rFonts w:ascii="Times New Roman" w:hAnsi="Times New Roman" w:cs="Times New Roman"/>
        </w:rPr>
      </w:pPr>
      <w:r>
        <w:rPr>
          <w:rFonts w:ascii="Times New Roman" w:hAnsi="Times New Roman" w:cs="Times New Roman"/>
        </w:rPr>
        <w:t>BP’s stock performance could be positively influenced by several key factors:</w:t>
      </w:r>
    </w:p>
    <w:p w14:paraId="4BE652FE" w14:textId="7CBA5797" w:rsidR="006E00DD" w:rsidRDefault="006E00DD" w:rsidP="006E00DD">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Oil &amp; Gas Price – An increase in the global oil and gas prices would directly boost the upstream revenue and cash flow.</w:t>
      </w:r>
    </w:p>
    <w:p w14:paraId="3A0886EB" w14:textId="41BA93C1" w:rsidR="003B1D83" w:rsidRDefault="003B1D83" w:rsidP="006E00DD">
      <w:pPr>
        <w:pStyle w:val="ListParagraph"/>
        <w:numPr>
          <w:ilvl w:val="0"/>
          <w:numId w:val="3"/>
        </w:numPr>
        <w:rPr>
          <w:rFonts w:ascii="Times New Roman" w:hAnsi="Times New Roman" w:cs="Times New Roman"/>
        </w:rPr>
      </w:pPr>
      <w:r>
        <w:rPr>
          <w:rFonts w:ascii="Times New Roman" w:hAnsi="Times New Roman" w:cs="Times New Roman"/>
        </w:rPr>
        <w:t xml:space="preserve">Operational Efficiency – Improvements in production costs, refining margins or efficiency of the supply chain in downstream operations would enhance profitability. </w:t>
      </w:r>
    </w:p>
    <w:p w14:paraId="3224EF62" w14:textId="0477599C" w:rsidR="003B1D83" w:rsidRDefault="003B1D83" w:rsidP="006E00DD">
      <w:pPr>
        <w:pStyle w:val="ListParagraph"/>
        <w:numPr>
          <w:ilvl w:val="0"/>
          <w:numId w:val="3"/>
        </w:numPr>
        <w:rPr>
          <w:rFonts w:ascii="Times New Roman" w:hAnsi="Times New Roman" w:cs="Times New Roman"/>
        </w:rPr>
      </w:pPr>
      <w:r>
        <w:rPr>
          <w:rFonts w:ascii="Times New Roman" w:hAnsi="Times New Roman" w:cs="Times New Roman"/>
        </w:rPr>
        <w:t>Renewable &amp; Transition Project Success – Timely execution of the low-carbon projects could strengthen long-term growth and investor confidence.</w:t>
      </w:r>
    </w:p>
    <w:p w14:paraId="558FFF7F" w14:textId="1A5A3C48" w:rsidR="003B1D83" w:rsidRDefault="003B1D83" w:rsidP="006E00DD">
      <w:pPr>
        <w:pStyle w:val="ListParagraph"/>
        <w:numPr>
          <w:ilvl w:val="0"/>
          <w:numId w:val="3"/>
        </w:numPr>
        <w:rPr>
          <w:rFonts w:ascii="Times New Roman" w:hAnsi="Times New Roman" w:cs="Times New Roman"/>
        </w:rPr>
      </w:pPr>
      <w:r>
        <w:rPr>
          <w:rFonts w:ascii="Times New Roman" w:hAnsi="Times New Roman" w:cs="Times New Roman"/>
        </w:rPr>
        <w:t>Regulatory Tailwinds – favourable energy policies, subsidies for renewables or carbon credit markets could support BP’s strategic shift toward cleaner energy.</w:t>
      </w:r>
    </w:p>
    <w:p w14:paraId="06882DAD" w14:textId="2A4F460B" w:rsidR="003B1D83" w:rsidRDefault="003B1D83" w:rsidP="006E00DD">
      <w:pPr>
        <w:pStyle w:val="ListParagraph"/>
        <w:numPr>
          <w:ilvl w:val="0"/>
          <w:numId w:val="3"/>
        </w:numPr>
        <w:rPr>
          <w:rFonts w:ascii="Times New Roman" w:hAnsi="Times New Roman" w:cs="Times New Roman"/>
        </w:rPr>
      </w:pPr>
      <w:r>
        <w:rPr>
          <w:rFonts w:ascii="Times New Roman" w:hAnsi="Times New Roman" w:cs="Times New Roman"/>
        </w:rPr>
        <w:t>Global Energy Demand Growth – Higher global energy consumption can expand the revenue across both the hydrocarbon and renewable segments.</w:t>
      </w:r>
    </w:p>
    <w:p w14:paraId="0FB67271" w14:textId="1AB0B9E6" w:rsidR="00540ADF" w:rsidRDefault="00540ADF" w:rsidP="00540ADF">
      <w:pPr>
        <w:rPr>
          <w:rFonts w:ascii="Times New Roman" w:hAnsi="Times New Roman" w:cs="Times New Roman"/>
        </w:rPr>
      </w:pPr>
      <w:r>
        <w:rPr>
          <w:rFonts w:ascii="Times New Roman" w:hAnsi="Times New Roman" w:cs="Times New Roman"/>
        </w:rPr>
        <w:t>BP has multiple potential growth drivers due to its integrated structure, which allows it to capture upside from commodity cycles while also benefiting from successful energy transition initiatives.</w:t>
      </w:r>
    </w:p>
    <w:p w14:paraId="0A96629E" w14:textId="77777777" w:rsidR="00540ADF" w:rsidRDefault="00540ADF" w:rsidP="00540ADF">
      <w:pPr>
        <w:rPr>
          <w:rFonts w:ascii="Times New Roman" w:hAnsi="Times New Roman" w:cs="Times New Roman"/>
        </w:rPr>
      </w:pPr>
    </w:p>
    <w:p w14:paraId="54E3B496" w14:textId="77777777" w:rsidR="00540ADF" w:rsidRDefault="00540ADF" w:rsidP="00540ADF">
      <w:pPr>
        <w:pBdr>
          <w:bottom w:val="single" w:sz="12" w:space="1" w:color="auto"/>
        </w:pBdr>
        <w:rPr>
          <w:rFonts w:ascii="Times New Roman" w:hAnsi="Times New Roman" w:cs="Times New Roman"/>
        </w:rPr>
      </w:pPr>
    </w:p>
    <w:p w14:paraId="4626AA50" w14:textId="3132A15A" w:rsidR="00540ADF" w:rsidRDefault="00540ADF" w:rsidP="00540ADF">
      <w:pPr>
        <w:rPr>
          <w:rFonts w:ascii="Times New Roman" w:hAnsi="Times New Roman" w:cs="Times New Roman"/>
          <w:b/>
          <w:bCs/>
          <w:sz w:val="28"/>
          <w:szCs w:val="28"/>
        </w:rPr>
      </w:pPr>
      <w:r>
        <w:rPr>
          <w:rFonts w:ascii="Times New Roman" w:hAnsi="Times New Roman" w:cs="Times New Roman"/>
          <w:b/>
          <w:bCs/>
          <w:sz w:val="28"/>
          <w:szCs w:val="28"/>
        </w:rPr>
        <w:t xml:space="preserve">6. Recommendation</w:t>
      </w:r>
    </w:p>
    <w:p w14:paraId="7DEB96BD" w14:textId="74F64B95" w:rsidR="00540ADF" w:rsidRDefault="00540ADF" w:rsidP="00540ADF">
      <w:pPr>
        <w:rPr>
          <w:rFonts w:ascii="Times New Roman" w:hAnsi="Times New Roman" w:cs="Times New Roman"/>
        </w:rPr>
      </w:pPr>
      <w:r>
        <w:rPr>
          <w:rFonts w:ascii="Times New Roman" w:hAnsi="Times New Roman" w:cs="Times New Roman"/>
        </w:rPr>
        <w:t>Based on the comprehensive analysis of BP’s integrated business model, their historical and forward earnings, valuation, and key risk and catalysts, I believe a Hold recommendation is appropriate at current levels. Overall, BP offers a balanced profile – it is resilient due its diversification across upstream, downstream and low-carbon energy, but investors should remain cautious of near-term volatility.</w:t>
      </w:r>
    </w:p>
    <w:p w14:paraId="51C89C6C" w14:textId="77777777" w:rsidR="00540ADF" w:rsidRDefault="00540ADF" w:rsidP="00540ADF">
      <w:pPr>
        <w:rPr>
          <w:rFonts w:ascii="Times New Roman" w:hAnsi="Times New Roman" w:cs="Times New Roman"/>
        </w:rPr>
      </w:pPr>
    </w:p>
    <w:p w14:paraId="26AE82B5" w14:textId="77777777" w:rsidR="00540ADF" w:rsidRDefault="00540ADF" w:rsidP="00540ADF">
      <w:pPr>
        <w:rPr>
          <w:rFonts w:ascii="Times New Roman" w:hAnsi="Times New Roman" w:cs="Times New Roman"/>
        </w:rPr>
      </w:pPr>
    </w:p>
    <w:p w14:paraId="18FC52A5" w14:textId="77777777" w:rsidR="00540ADF" w:rsidRDefault="00540ADF" w:rsidP="00540ADF">
      <w:pPr>
        <w:rPr>
          <w:rFonts w:ascii="Times New Roman" w:hAnsi="Times New Roman" w:cs="Times New Roman"/>
        </w:rPr>
      </w:pPr>
    </w:p>
    <w:p w14:paraId="7BE7F151" w14:textId="77777777" w:rsidR="00540ADF" w:rsidRDefault="00540ADF" w:rsidP="00540ADF">
      <w:pPr>
        <w:pBdr>
          <w:bottom w:val="single" w:sz="12" w:space="1" w:color="auto"/>
        </w:pBdr>
        <w:rPr>
          <w:rFonts w:ascii="Times New Roman" w:hAnsi="Times New Roman" w:cs="Times New Roman"/>
        </w:rPr>
      </w:pPr>
    </w:p>
    <w:p w14:paraId="01B5FB10" w14:textId="77777777" w:rsidR="00540ADF" w:rsidRPr="00540ADF" w:rsidRDefault="00540ADF" w:rsidP="00540ADF">
      <w:pPr>
        <w:rPr>
          <w:rFonts w:ascii="Times New Roman" w:hAnsi="Times New Roman" w:cs="Times New Roman"/>
        </w:rPr>
      </w:pPr>
    </w:p>
    <w:sectPr w:rsidR="00540ADF" w:rsidRPr="00540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1281"/>
    <w:multiLevelType w:val="hybridMultilevel"/>
    <w:tmpl w:val="AC221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80418"/>
    <w:multiLevelType w:val="hybridMultilevel"/>
    <w:tmpl w:val="1A80E0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8677B5"/>
    <w:multiLevelType w:val="hybridMultilevel"/>
    <w:tmpl w:val="D772D5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6967944">
    <w:abstractNumId w:val="1"/>
  </w:num>
  <w:num w:numId="2" w16cid:durableId="421343998">
    <w:abstractNumId w:val="2"/>
  </w:num>
  <w:num w:numId="3" w16cid:durableId="11529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98"/>
    <w:rsid w:val="00301CF8"/>
    <w:rsid w:val="00351CA5"/>
    <w:rsid w:val="003B1D83"/>
    <w:rsid w:val="004E5DDA"/>
    <w:rsid w:val="00522198"/>
    <w:rsid w:val="00540ADF"/>
    <w:rsid w:val="005848C6"/>
    <w:rsid w:val="0066558B"/>
    <w:rsid w:val="00686D41"/>
    <w:rsid w:val="006D1F12"/>
    <w:rsid w:val="006E00DD"/>
    <w:rsid w:val="00A149D4"/>
    <w:rsid w:val="00A97E5D"/>
    <w:rsid w:val="00BF0699"/>
    <w:rsid w:val="00C05FF7"/>
    <w:rsid w:val="00D102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EDC5"/>
  <w15:chartTrackingRefBased/>
  <w15:docId w15:val="{DBAF1E24-A370-448E-BCE0-71BFCFF3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198"/>
    <w:rPr>
      <w:rFonts w:eastAsiaTheme="majorEastAsia" w:cstheme="majorBidi"/>
      <w:color w:val="272727" w:themeColor="text1" w:themeTint="D8"/>
    </w:rPr>
  </w:style>
  <w:style w:type="paragraph" w:styleId="Title">
    <w:name w:val="Title"/>
    <w:basedOn w:val="Normal"/>
    <w:next w:val="Normal"/>
    <w:link w:val="TitleChar"/>
    <w:uiPriority w:val="10"/>
    <w:qFormat/>
    <w:rsid w:val="00522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198"/>
    <w:pPr>
      <w:spacing w:before="160"/>
      <w:jc w:val="center"/>
    </w:pPr>
    <w:rPr>
      <w:i/>
      <w:iCs/>
      <w:color w:val="404040" w:themeColor="text1" w:themeTint="BF"/>
    </w:rPr>
  </w:style>
  <w:style w:type="character" w:customStyle="1" w:styleId="QuoteChar">
    <w:name w:val="Quote Char"/>
    <w:basedOn w:val="DefaultParagraphFont"/>
    <w:link w:val="Quote"/>
    <w:uiPriority w:val="29"/>
    <w:rsid w:val="00522198"/>
    <w:rPr>
      <w:i/>
      <w:iCs/>
      <w:color w:val="404040" w:themeColor="text1" w:themeTint="BF"/>
    </w:rPr>
  </w:style>
  <w:style w:type="paragraph" w:styleId="ListParagraph">
    <w:name w:val="List Paragraph"/>
    <w:basedOn w:val="Normal"/>
    <w:uiPriority w:val="34"/>
    <w:qFormat/>
    <w:rsid w:val="00522198"/>
    <w:pPr>
      <w:ind w:left="720"/>
      <w:contextualSpacing/>
    </w:pPr>
  </w:style>
  <w:style w:type="character" w:styleId="IntenseEmphasis">
    <w:name w:val="Intense Emphasis"/>
    <w:basedOn w:val="DefaultParagraphFont"/>
    <w:uiPriority w:val="21"/>
    <w:qFormat/>
    <w:rsid w:val="00522198"/>
    <w:rPr>
      <w:i/>
      <w:iCs/>
      <w:color w:val="0F4761" w:themeColor="accent1" w:themeShade="BF"/>
    </w:rPr>
  </w:style>
  <w:style w:type="paragraph" w:styleId="IntenseQuote">
    <w:name w:val="Intense Quote"/>
    <w:basedOn w:val="Normal"/>
    <w:next w:val="Normal"/>
    <w:link w:val="IntenseQuoteChar"/>
    <w:uiPriority w:val="30"/>
    <w:qFormat/>
    <w:rsid w:val="00522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198"/>
    <w:rPr>
      <w:i/>
      <w:iCs/>
      <w:color w:val="0F4761" w:themeColor="accent1" w:themeShade="BF"/>
    </w:rPr>
  </w:style>
  <w:style w:type="character" w:styleId="IntenseReference">
    <w:name w:val="Intense Reference"/>
    <w:basedOn w:val="DefaultParagraphFont"/>
    <w:uiPriority w:val="32"/>
    <w:qFormat/>
    <w:rsid w:val="00522198"/>
    <w:rPr>
      <w:b/>
      <w:bCs/>
      <w:smallCaps/>
      <w:color w:val="0F4761" w:themeColor="accent1" w:themeShade="BF"/>
      <w:spacing w:val="5"/>
    </w:rPr>
  </w:style>
  <w:style w:type="table" w:styleId="TableGrid">
    <w:name w:val="Table Grid"/>
    <w:basedOn w:val="TableNormal"/>
    <w:uiPriority w:val="39"/>
    <w:rsid w:val="00584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4</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Kesse, Samuel (2023)</dc:creator>
  <cp:keywords/>
  <dc:description/>
  <cp:lastModifiedBy>Kesse, Samuel (2023)</cp:lastModifiedBy>
  <cp:revision>2</cp:revision>
  <dcterms:created xsi:type="dcterms:W3CDTF">2026-01-18T11:52:00Z</dcterms:created>
  <dcterms:modified xsi:type="dcterms:W3CDTF">2026-01-18T15:56:00Z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46640f46-d3e1-4604-a902-940e2e351c12</vt:lpwstr>
  </property>
</Properties>
</file>