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0F6D6" w14:textId="77777777" w:rsidR="002318C0" w:rsidRDefault="002318C0">
      <w:pPr>
        <w:rPr>
          <w:rFonts w:ascii="Times New Roman" w:hAnsi="Times New Roman" w:cs="Times New Roman"/>
          <w:sz w:val="32"/>
          <w:szCs w:val="32"/>
        </w:rPr>
      </w:pPr>
    </w:p>
    <w:p w14:paraId="0F536519" w14:textId="77777777" w:rsidR="002318C0" w:rsidRDefault="002318C0">
      <w:pPr>
        <w:rPr>
          <w:rFonts w:ascii="Times New Roman" w:hAnsi="Times New Roman" w:cs="Times New Roman"/>
          <w:sz w:val="32"/>
          <w:szCs w:val="32"/>
        </w:rPr>
      </w:pPr>
    </w:p>
    <w:p w14:paraId="58745B34" w14:textId="77777777" w:rsidR="002318C0" w:rsidRDefault="002318C0">
      <w:pPr>
        <w:rPr>
          <w:rFonts w:ascii="Times New Roman" w:hAnsi="Times New Roman" w:cs="Times New Roman"/>
          <w:sz w:val="32"/>
          <w:szCs w:val="32"/>
        </w:rPr>
      </w:pPr>
    </w:p>
    <w:p w14:paraId="42C71061" w14:textId="77777777" w:rsidR="002318C0" w:rsidRDefault="002318C0">
      <w:pPr>
        <w:rPr>
          <w:rFonts w:ascii="Times New Roman" w:hAnsi="Times New Roman" w:cs="Times New Roman"/>
          <w:sz w:val="32"/>
          <w:szCs w:val="32"/>
        </w:rPr>
      </w:pPr>
    </w:p>
    <w:p w14:paraId="5ACD638F" w14:textId="77777777" w:rsidR="002318C0" w:rsidRDefault="002318C0" w:rsidP="002318C0">
      <w:pPr>
        <w:jc w:val="center"/>
        <w:rPr>
          <w:rFonts w:ascii="Times New Roman" w:hAnsi="Times New Roman" w:cs="Times New Roman"/>
          <w:sz w:val="32"/>
          <w:szCs w:val="32"/>
        </w:rPr>
      </w:pPr>
    </w:p>
    <w:p w14:paraId="593A6944" w14:textId="77777777" w:rsidR="002318C0" w:rsidRDefault="002318C0" w:rsidP="002318C0">
      <w:pPr>
        <w:jc w:val="center"/>
        <w:rPr>
          <w:rFonts w:ascii="Times New Roman" w:hAnsi="Times New Roman" w:cs="Times New Roman"/>
          <w:sz w:val="32"/>
          <w:szCs w:val="32"/>
        </w:rPr>
      </w:pPr>
    </w:p>
    <w:p w14:paraId="668B3491" w14:textId="77777777" w:rsidR="002318C0" w:rsidRDefault="002318C0" w:rsidP="002318C0">
      <w:pPr>
        <w:jc w:val="center"/>
        <w:rPr>
          <w:rFonts w:ascii="Times New Roman" w:hAnsi="Times New Roman" w:cs="Times New Roman"/>
          <w:sz w:val="32"/>
          <w:szCs w:val="32"/>
        </w:rPr>
      </w:pPr>
    </w:p>
    <w:p w14:paraId="603779A8" w14:textId="77777777" w:rsidR="002318C0" w:rsidRDefault="002318C0" w:rsidP="002318C0">
      <w:pPr>
        <w:jc w:val="center"/>
        <w:rPr>
          <w:rFonts w:ascii="Times New Roman" w:hAnsi="Times New Roman" w:cs="Times New Roman"/>
          <w:sz w:val="32"/>
          <w:szCs w:val="32"/>
        </w:rPr>
      </w:pPr>
    </w:p>
    <w:p w14:paraId="30B96AB3" w14:textId="2F9786C5" w:rsidR="002318C0" w:rsidRDefault="002318C0" w:rsidP="002318C0">
      <w:pPr>
        <w:jc w:val="center"/>
        <w:rPr>
          <w:rFonts w:ascii="Times New Roman" w:hAnsi="Times New Roman" w:cs="Times New Roman"/>
          <w:sz w:val="32"/>
          <w:szCs w:val="32"/>
        </w:rPr>
      </w:pPr>
      <w:r>
        <w:rPr>
          <w:rFonts w:ascii="Times New Roman" w:hAnsi="Times New Roman" w:cs="Times New Roman"/>
          <w:sz w:val="32"/>
          <w:szCs w:val="32"/>
        </w:rPr>
        <w:t>Regulatory &amp; Compliance Case Study</w:t>
      </w:r>
    </w:p>
    <w:p w14:paraId="7622C73F" w14:textId="6C04BD90" w:rsidR="002318C0" w:rsidRDefault="002318C0" w:rsidP="002318C0">
      <w:pPr>
        <w:jc w:val="center"/>
        <w:rPr>
          <w:rFonts w:ascii="Times New Roman" w:hAnsi="Times New Roman" w:cs="Times New Roman"/>
          <w:sz w:val="28"/>
          <w:szCs w:val="28"/>
        </w:rPr>
      </w:pPr>
      <w:r>
        <w:rPr>
          <w:rFonts w:ascii="Times New Roman" w:hAnsi="Times New Roman" w:cs="Times New Roman"/>
          <w:sz w:val="28"/>
          <w:szCs w:val="28"/>
        </w:rPr>
        <w:t>Barclays Bank – LIBOR Manipulation (2012 – 2016)</w:t>
      </w:r>
    </w:p>
    <w:p w14:paraId="66F5F038" w14:textId="77777777" w:rsidR="002318C0" w:rsidRDefault="002318C0" w:rsidP="002318C0">
      <w:pPr>
        <w:jc w:val="center"/>
        <w:rPr>
          <w:rFonts w:ascii="Times New Roman" w:hAnsi="Times New Roman" w:cs="Times New Roman"/>
          <w:sz w:val="28"/>
          <w:szCs w:val="28"/>
        </w:rPr>
      </w:pPr>
    </w:p>
    <w:p w14:paraId="17EEB1B3" w14:textId="77777777" w:rsidR="002318C0" w:rsidRDefault="002318C0" w:rsidP="002318C0">
      <w:pPr>
        <w:pBdr>
          <w:bottom w:val="single" w:sz="12" w:space="1" w:color="auto"/>
        </w:pBdr>
        <w:jc w:val="center"/>
        <w:rPr>
          <w:rFonts w:ascii="Times New Roman" w:hAnsi="Times New Roman" w:cs="Times New Roman"/>
          <w:sz w:val="28"/>
          <w:szCs w:val="28"/>
        </w:rPr>
      </w:pPr>
    </w:p>
    <w:p w14:paraId="51763B0C" w14:textId="1DE12653" w:rsidR="002318C0" w:rsidRDefault="002318C0" w:rsidP="002318C0">
      <w:pPr>
        <w:jc w:val="center"/>
        <w:rPr>
          <w:rFonts w:ascii="Times New Roman" w:hAnsi="Times New Roman" w:cs="Times New Roman"/>
          <w:sz w:val="28"/>
          <w:szCs w:val="28"/>
        </w:rPr>
      </w:pPr>
    </w:p>
    <w:p w14:paraId="618811FF" w14:textId="77777777" w:rsidR="002318C0" w:rsidRDefault="002318C0">
      <w:pPr>
        <w:pBdr>
          <w:bottom w:val="single" w:sz="12" w:space="1" w:color="auto"/>
        </w:pBdr>
        <w:rPr>
          <w:rFonts w:ascii="Times New Roman" w:hAnsi="Times New Roman" w:cs="Times New Roman"/>
          <w:sz w:val="28"/>
          <w:szCs w:val="28"/>
        </w:rPr>
      </w:pPr>
      <w:r>
        <w:rPr>
          <w:rFonts w:ascii="Times New Roman" w:hAnsi="Times New Roman" w:cs="Times New Roman"/>
          <w:sz w:val="28"/>
          <w:szCs w:val="28"/>
        </w:rPr>
        <w:br w:type="page"/>
      </w:r>
    </w:p>
    <w:p w14:paraId="019AB5F9" w14:textId="77777777" w:rsidR="002318C0" w:rsidRDefault="002318C0">
      <w:pPr>
        <w:pBdr>
          <w:bottom w:val="single" w:sz="12" w:space="1" w:color="auto"/>
        </w:pBdr>
        <w:rPr>
          <w:rFonts w:ascii="Times New Roman" w:hAnsi="Times New Roman" w:cs="Times New Roman"/>
          <w:sz w:val="28"/>
          <w:szCs w:val="28"/>
        </w:rPr>
      </w:pPr>
    </w:p>
    <w:p w14:paraId="4216E64F" w14:textId="1B718075" w:rsidR="002318C0" w:rsidRPr="002318C0" w:rsidRDefault="002318C0" w:rsidP="002318C0">
      <w:pPr>
        <w:rPr>
          <w:rFonts w:ascii="Times New Roman" w:hAnsi="Times New Roman" w:cs="Times New Roman"/>
          <w:b/>
          <w:bCs/>
        </w:rPr>
      </w:pPr>
      <w:r>
        <w:rPr>
          <w:rFonts w:ascii="Times New Roman" w:hAnsi="Times New Roman" w:cs="Times New Roman"/>
          <w:b/>
          <w:bCs/>
        </w:rPr>
        <w:t>Overview</w:t>
      </w:r>
    </w:p>
    <w:p w14:paraId="4CFCF648" w14:textId="72BDD82B" w:rsidR="002318C0" w:rsidRDefault="002318C0" w:rsidP="002318C0">
      <w:pPr>
        <w:rPr>
          <w:rFonts w:ascii="Times New Roman" w:hAnsi="Times New Roman" w:cs="Times New Roman"/>
        </w:rPr>
      </w:pPr>
      <w:r>
        <w:rPr>
          <w:rFonts w:ascii="Times New Roman" w:hAnsi="Times New Roman" w:cs="Times New Roman"/>
        </w:rPr>
        <w:t xml:space="preserve">Barclays Bank, one of the biggest financial institutions in the world, admitted in June 2012 to manipulating the London Interbank Offered Rate (LIBOR), a benchmark interest rate that underpins trillions of dollars in global financial contracts. The scandal went to indicate how impactful unethical conduct can have on investor trust and market integrity. </w:t>
      </w:r>
    </w:p>
    <w:p w14:paraId="3C2A0E28" w14:textId="77777777" w:rsidR="0072132B" w:rsidRDefault="0072132B" w:rsidP="002318C0">
      <w:pPr>
        <w:pBdr>
          <w:bottom w:val="single" w:sz="12" w:space="1" w:color="auto"/>
        </w:pBdr>
        <w:rPr>
          <w:rFonts w:ascii="Times New Roman" w:hAnsi="Times New Roman" w:cs="Times New Roman"/>
        </w:rPr>
      </w:pPr>
    </w:p>
    <w:p w14:paraId="1CC07888" w14:textId="0D21AF8B" w:rsidR="0072132B" w:rsidRDefault="0072132B" w:rsidP="002318C0">
      <w:pPr>
        <w:rPr>
          <w:rFonts w:ascii="Times New Roman" w:hAnsi="Times New Roman" w:cs="Times New Roman"/>
          <w:b/>
          <w:bCs/>
        </w:rPr>
      </w:pPr>
      <w:r>
        <w:rPr>
          <w:rFonts w:ascii="Times New Roman" w:hAnsi="Times New Roman" w:cs="Times New Roman"/>
          <w:b/>
          <w:bCs/>
        </w:rPr>
        <w:t>What Happened</w:t>
      </w:r>
    </w:p>
    <w:p w14:paraId="2EF2D56C" w14:textId="4B3622A7" w:rsidR="0072132B" w:rsidRDefault="0072132B" w:rsidP="002318C0">
      <w:pPr>
        <w:rPr>
          <w:rFonts w:ascii="Times New Roman" w:hAnsi="Times New Roman" w:cs="Times New Roman"/>
        </w:rPr>
      </w:pPr>
      <w:r>
        <w:rPr>
          <w:rFonts w:ascii="Times New Roman" w:hAnsi="Times New Roman" w:cs="Times New Roman"/>
        </w:rPr>
        <w:t>Between 2005 and 2009, Barclays traders and submitters manipulated LIBOR submissions in order to profit from derivatives trades and limit trading losses. Between 2007 and 2009, artificially low LIBOR rates were submitted to reduce market speculation and mitigate negative media attention regarding Barclays’ stability during the financial crisis. Thirteen traders were charged by the UK Serious Fraud Office – four convicted, one pleaded guilty and eight acquitted.</w:t>
      </w:r>
    </w:p>
    <w:p w14:paraId="78B4EACB" w14:textId="77777777" w:rsidR="0072132B" w:rsidRDefault="0072132B" w:rsidP="002318C0">
      <w:pPr>
        <w:pBdr>
          <w:bottom w:val="single" w:sz="12" w:space="1" w:color="auto"/>
        </w:pBdr>
        <w:rPr>
          <w:rFonts w:ascii="Times New Roman" w:hAnsi="Times New Roman" w:cs="Times New Roman"/>
        </w:rPr>
      </w:pPr>
    </w:p>
    <w:p w14:paraId="4C2FE98F" w14:textId="28AFFA2F" w:rsidR="0072132B" w:rsidRDefault="0072132B" w:rsidP="002318C0">
      <w:pPr>
        <w:rPr>
          <w:rFonts w:ascii="Times New Roman" w:hAnsi="Times New Roman" w:cs="Times New Roman"/>
          <w:b/>
          <w:bCs/>
        </w:rPr>
      </w:pPr>
      <w:r>
        <w:rPr>
          <w:rFonts w:ascii="Times New Roman" w:hAnsi="Times New Roman" w:cs="Times New Roman"/>
          <w:b/>
          <w:bCs/>
        </w:rPr>
        <w:t>Regulations Breached</w:t>
      </w:r>
    </w:p>
    <w:p w14:paraId="48020C0F" w14:textId="67A37ED2" w:rsidR="0072132B" w:rsidRDefault="0072132B" w:rsidP="002318C0">
      <w:pPr>
        <w:rPr>
          <w:rFonts w:ascii="Times New Roman" w:hAnsi="Times New Roman" w:cs="Times New Roman"/>
        </w:rPr>
      </w:pPr>
      <w:r>
        <w:rPr>
          <w:rFonts w:ascii="Times New Roman" w:hAnsi="Times New Roman" w:cs="Times New Roman"/>
        </w:rPr>
        <w:t>UK – Financial Services and Markets Act (FSMA), Market Abuse regulations</w:t>
      </w:r>
    </w:p>
    <w:p w14:paraId="250EAC67" w14:textId="18EAC715" w:rsidR="0072132B" w:rsidRDefault="0072132B" w:rsidP="002318C0">
      <w:pPr>
        <w:rPr>
          <w:rFonts w:ascii="Times New Roman" w:hAnsi="Times New Roman" w:cs="Times New Roman"/>
        </w:rPr>
      </w:pPr>
      <w:r>
        <w:rPr>
          <w:rFonts w:ascii="Times New Roman" w:hAnsi="Times New Roman" w:cs="Times New Roman"/>
        </w:rPr>
        <w:t>US – Commodity Exchange Act, anti-fraud provisions</w:t>
      </w:r>
    </w:p>
    <w:p w14:paraId="316A17C5" w14:textId="77777777" w:rsidR="0072132B" w:rsidRDefault="0072132B" w:rsidP="002318C0">
      <w:pPr>
        <w:pBdr>
          <w:bottom w:val="single" w:sz="12" w:space="1" w:color="auto"/>
        </w:pBdr>
        <w:rPr>
          <w:rFonts w:ascii="Times New Roman" w:hAnsi="Times New Roman" w:cs="Times New Roman"/>
        </w:rPr>
      </w:pPr>
    </w:p>
    <w:p w14:paraId="27ABA183" w14:textId="17B23AE7" w:rsidR="0072132B" w:rsidRDefault="0072132B" w:rsidP="002318C0">
      <w:pPr>
        <w:rPr>
          <w:rFonts w:ascii="Times New Roman" w:hAnsi="Times New Roman" w:cs="Times New Roman"/>
          <w:b/>
          <w:bCs/>
        </w:rPr>
      </w:pPr>
      <w:r>
        <w:rPr>
          <w:rFonts w:ascii="Times New Roman" w:hAnsi="Times New Roman" w:cs="Times New Roman"/>
          <w:b/>
          <w:bCs/>
        </w:rPr>
        <w:t>Outcome/Consequences</w:t>
      </w:r>
    </w:p>
    <w:p w14:paraId="765ED382" w14:textId="65A1DF4C" w:rsidR="0072132B" w:rsidRDefault="0072132B" w:rsidP="002318C0">
      <w:pPr>
        <w:rPr>
          <w:rFonts w:ascii="Times New Roman" w:hAnsi="Times New Roman" w:cs="Times New Roman"/>
        </w:rPr>
      </w:pPr>
      <w:r>
        <w:rPr>
          <w:rFonts w:ascii="Times New Roman" w:hAnsi="Times New Roman" w:cs="Times New Roman"/>
        </w:rPr>
        <w:t xml:space="preserve">Barclays were fined £290 million by UK and US regulators in 2012. They also settled with over 40 US states for $100 million in 2016. The UK investigation cost around £36 million over seven years (covering both its LIBOR and EURIBOR inquiries). Senior traders were disciplined – four convicted and one pled guilty. Barclays also strengthened its compliance and monitoring systems in order to prevent future misconduct.</w:t>
      </w:r>
    </w:p>
    <w:p w14:paraId="725BBFD2" w14:textId="77777777" w:rsidR="00DC45BC" w:rsidRDefault="00DC45BC" w:rsidP="002318C0">
      <w:pPr>
        <w:pBdr>
          <w:bottom w:val="single" w:sz="12" w:space="1" w:color="auto"/>
        </w:pBdr>
        <w:rPr>
          <w:rFonts w:ascii="Times New Roman" w:hAnsi="Times New Roman" w:cs="Times New Roman"/>
        </w:rPr>
      </w:pPr>
    </w:p>
    <w:p w14:paraId="10675306" w14:textId="6D37AF6B" w:rsidR="00DC45BC" w:rsidRDefault="00DC45BC" w:rsidP="002318C0">
      <w:pPr>
        <w:rPr>
          <w:rFonts w:ascii="Times New Roman" w:hAnsi="Times New Roman" w:cs="Times New Roman"/>
          <w:b/>
          <w:bCs/>
        </w:rPr>
      </w:pPr>
      <w:r>
        <w:rPr>
          <w:rFonts w:ascii="Times New Roman" w:hAnsi="Times New Roman" w:cs="Times New Roman"/>
          <w:b/>
          <w:bCs/>
        </w:rPr>
        <w:t>Key Takeaways/ Importance</w:t>
      </w:r>
    </w:p>
    <w:p w14:paraId="399FCA4D" w14:textId="377FBB89" w:rsidR="00DC45BC" w:rsidRPr="00DC45BC" w:rsidRDefault="00DC45BC" w:rsidP="00DC45BC">
      <w:pPr>
        <w:pStyle w:val="ListParagraph"/>
        <w:numPr>
          <w:ilvl w:val="0"/>
          <w:numId w:val="1"/>
        </w:numPr>
        <w:rPr>
          <w:rFonts w:ascii="Times New Roman" w:hAnsi="Times New Roman" w:cs="Times New Roman"/>
        </w:rPr>
      </w:pPr>
      <w:r>
        <w:rPr>
          <w:rFonts w:ascii="Times New Roman" w:hAnsi="Times New Roman" w:cs="Times New Roman"/>
        </w:rPr>
        <w:t>Ethical conduct and transparency are critical in financial markets.</w:t>
      </w:r>
    </w:p>
    <w:p w14:paraId="4220CCDB" w14:textId="78A7BF18" w:rsidR="00DC45BC" w:rsidRPr="00DC45BC" w:rsidRDefault="00DC45BC" w:rsidP="00DC45BC">
      <w:pPr>
        <w:pStyle w:val="ListParagraph"/>
        <w:numPr>
          <w:ilvl w:val="0"/>
          <w:numId w:val="1"/>
        </w:numPr>
        <w:rPr>
          <w:rFonts w:ascii="Times New Roman" w:hAnsi="Times New Roman" w:cs="Times New Roman"/>
        </w:rPr>
      </w:pPr>
      <w:r>
        <w:rPr>
          <w:rFonts w:ascii="Times New Roman" w:hAnsi="Times New Roman" w:cs="Times New Roman"/>
        </w:rPr>
        <w:t>Compliance oversight and internal controls are essential to prevent market abuse.</w:t>
      </w:r>
    </w:p>
    <w:p w14:paraId="7F5FC213" w14:textId="7FE87D5E" w:rsidR="00DC45BC" w:rsidRPr="00DC45BC" w:rsidRDefault="00DC45BC" w:rsidP="00DC45BC">
      <w:pPr>
        <w:pStyle w:val="ListParagraph"/>
        <w:numPr>
          <w:ilvl w:val="0"/>
          <w:numId w:val="1"/>
        </w:numPr>
        <w:rPr>
          <w:rFonts w:ascii="Times New Roman" w:hAnsi="Times New Roman" w:cs="Times New Roman"/>
        </w:rPr>
      </w:pPr>
      <w:r>
        <w:rPr>
          <w:rFonts w:ascii="Times New Roman" w:hAnsi="Times New Roman" w:cs="Times New Roman"/>
        </w:rPr>
        <w:t>Even global institutions are accountable to regulators.</w:t>
      </w:r>
    </w:p>
    <w:p w14:paraId="17A54EE9" w14:textId="06C4BEC2" w:rsidR="00DC45BC" w:rsidRPr="00DC45BC" w:rsidRDefault="00DC45BC" w:rsidP="00DC45BC">
      <w:pPr>
        <w:pStyle w:val="ListParagraph"/>
        <w:numPr>
          <w:ilvl w:val="0"/>
          <w:numId w:val="1"/>
        </w:numPr>
        <w:rPr>
          <w:rFonts w:ascii="Times New Roman" w:hAnsi="Times New Roman" w:cs="Times New Roman"/>
        </w:rPr>
      </w:pPr>
      <w:r>
        <w:rPr>
          <w:rFonts w:ascii="Times New Roman" w:hAnsi="Times New Roman" w:cs="Times New Roman"/>
        </w:rPr>
        <w:t>Breaches carry severe financial, legal, and reputational consequences.</w:t>
      </w:r>
    </w:p>
    <w:p w14:paraId="2E485FD5" w14:textId="77777777" w:rsidR="00DC45BC" w:rsidRPr="00DC45BC" w:rsidRDefault="00DC45BC" w:rsidP="002318C0">
      <w:pPr>
        <w:rPr>
          <w:rFonts w:ascii="Times New Roman" w:hAnsi="Times New Roman" w:cs="Times New Roman"/>
        </w:rPr>
      </w:pPr>
    </w:p>
    <w:sectPr w:rsidR="00DC45BC" w:rsidRPr="00DC45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82587"/>
    <w:multiLevelType w:val="hybridMultilevel"/>
    <w:tmpl w:val="DF36AE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77883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8C0"/>
    <w:rsid w:val="002318C0"/>
    <w:rsid w:val="00667CE8"/>
    <w:rsid w:val="0072132B"/>
    <w:rsid w:val="00D102C6"/>
    <w:rsid w:val="00DC45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527BC"/>
  <w15:chartTrackingRefBased/>
  <w15:docId w15:val="{0C619751-7E59-48E3-BD7E-E181C19EA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18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18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18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18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18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18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18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18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18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8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18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18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18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18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18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18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18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18C0"/>
    <w:rPr>
      <w:rFonts w:eastAsiaTheme="majorEastAsia" w:cstheme="majorBidi"/>
      <w:color w:val="272727" w:themeColor="text1" w:themeTint="D8"/>
    </w:rPr>
  </w:style>
  <w:style w:type="paragraph" w:styleId="Title">
    <w:name w:val="Title"/>
    <w:basedOn w:val="Normal"/>
    <w:next w:val="Normal"/>
    <w:link w:val="TitleChar"/>
    <w:uiPriority w:val="10"/>
    <w:qFormat/>
    <w:rsid w:val="002318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18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18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18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18C0"/>
    <w:pPr>
      <w:spacing w:before="160"/>
      <w:jc w:val="center"/>
    </w:pPr>
    <w:rPr>
      <w:i/>
      <w:iCs/>
      <w:color w:val="404040" w:themeColor="text1" w:themeTint="BF"/>
    </w:rPr>
  </w:style>
  <w:style w:type="character" w:customStyle="1" w:styleId="QuoteChar">
    <w:name w:val="Quote Char"/>
    <w:basedOn w:val="DefaultParagraphFont"/>
    <w:link w:val="Quote"/>
    <w:uiPriority w:val="29"/>
    <w:rsid w:val="002318C0"/>
    <w:rPr>
      <w:i/>
      <w:iCs/>
      <w:color w:val="404040" w:themeColor="text1" w:themeTint="BF"/>
    </w:rPr>
  </w:style>
  <w:style w:type="paragraph" w:styleId="ListParagraph">
    <w:name w:val="List Paragraph"/>
    <w:basedOn w:val="Normal"/>
    <w:uiPriority w:val="34"/>
    <w:qFormat/>
    <w:rsid w:val="002318C0"/>
    <w:pPr>
      <w:ind w:left="720"/>
      <w:contextualSpacing/>
    </w:pPr>
  </w:style>
  <w:style w:type="character" w:styleId="IntenseEmphasis">
    <w:name w:val="Intense Emphasis"/>
    <w:basedOn w:val="DefaultParagraphFont"/>
    <w:uiPriority w:val="21"/>
    <w:qFormat/>
    <w:rsid w:val="002318C0"/>
    <w:rPr>
      <w:i/>
      <w:iCs/>
      <w:color w:val="0F4761" w:themeColor="accent1" w:themeShade="BF"/>
    </w:rPr>
  </w:style>
  <w:style w:type="paragraph" w:styleId="IntenseQuote">
    <w:name w:val="Intense Quote"/>
    <w:basedOn w:val="Normal"/>
    <w:next w:val="Normal"/>
    <w:link w:val="IntenseQuoteChar"/>
    <w:uiPriority w:val="30"/>
    <w:qFormat/>
    <w:rsid w:val="002318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18C0"/>
    <w:rPr>
      <w:i/>
      <w:iCs/>
      <w:color w:val="0F4761" w:themeColor="accent1" w:themeShade="BF"/>
    </w:rPr>
  </w:style>
  <w:style w:type="character" w:styleId="IntenseReference">
    <w:name w:val="Intense Reference"/>
    <w:basedOn w:val="DefaultParagraphFont"/>
    <w:uiPriority w:val="32"/>
    <w:qFormat/>
    <w:rsid w:val="002318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252</TotalTime>
  <Pages>2</Pages>
  <Words>265</Words>
  <Characters>1514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Kesse, Samuel (2023)</dc:creator>
  <cp:keywords/>
  <dc:description/>
  <cp:lastModifiedBy>Kesse, Samuel (2023)</cp:lastModifiedBy>
  <cp:revision>1</cp:revision>
  <dcterms:created xsi:type="dcterms:W3CDTF">2026-01-18T21:25:00Z</dcterms:created>
  <dcterms:modified xsi:type="dcterms:W3CDTF">2026-01-19T01:37:00Z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05d60704-8cdf-4bea-831e-55128c243149</vt:lpwstr>
  </property>
</Properties>
</file>