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BC2B" w14:textId="77777777" w:rsidR="006B3D12" w:rsidRPr="006B3D12" w:rsidRDefault="006B3D12">
      <w:pPr>
        <w:rPr>
          <w:rFonts w:ascii="Times New Roman" w:hAnsi="Times New Roman" w:cs="Times New Roman"/>
          <w:sz w:val="32"/>
          <w:szCs w:val="32"/>
        </w:rPr>
      </w:pPr>
    </w:p>
    <w:p w14:paraId="6E598551" w14:textId="77777777" w:rsidR="006B3D12" w:rsidRPr="006B3D12" w:rsidRDefault="006B3D12" w:rsidP="006B3D12">
      <w:pPr>
        <w:jc w:val="center"/>
        <w:rPr>
          <w:rFonts w:ascii="Times New Roman" w:hAnsi="Times New Roman" w:cs="Times New Roman"/>
          <w:sz w:val="32"/>
          <w:szCs w:val="32"/>
        </w:rPr>
      </w:pPr>
    </w:p>
    <w:p w14:paraId="23DF22A7" w14:textId="77777777" w:rsidR="006B3D12" w:rsidRPr="006B3D12" w:rsidRDefault="006B3D12" w:rsidP="006B3D12">
      <w:pPr>
        <w:jc w:val="center"/>
        <w:rPr>
          <w:rFonts w:ascii="Times New Roman" w:hAnsi="Times New Roman" w:cs="Times New Roman"/>
          <w:sz w:val="32"/>
          <w:szCs w:val="32"/>
        </w:rPr>
      </w:pPr>
    </w:p>
    <w:p w14:paraId="5877810A" w14:textId="77777777" w:rsidR="006B3D12" w:rsidRPr="006B3D12" w:rsidRDefault="006B3D12" w:rsidP="006B3D12">
      <w:pPr>
        <w:jc w:val="center"/>
        <w:rPr>
          <w:rFonts w:ascii="Times New Roman" w:hAnsi="Times New Roman" w:cs="Times New Roman"/>
          <w:sz w:val="32"/>
          <w:szCs w:val="32"/>
        </w:rPr>
      </w:pPr>
    </w:p>
    <w:p w14:paraId="019C3A9D" w14:textId="77777777" w:rsidR="006B3D12" w:rsidRPr="006B3D12" w:rsidRDefault="006B3D12" w:rsidP="006B3D12">
      <w:pPr>
        <w:jc w:val="center"/>
        <w:rPr>
          <w:rFonts w:ascii="Times New Roman" w:hAnsi="Times New Roman" w:cs="Times New Roman"/>
          <w:sz w:val="32"/>
          <w:szCs w:val="32"/>
        </w:rPr>
      </w:pPr>
    </w:p>
    <w:p w14:paraId="379D980F" w14:textId="77777777" w:rsidR="006B3D12" w:rsidRPr="006B3D12" w:rsidRDefault="006B3D12" w:rsidP="006B3D12">
      <w:pPr>
        <w:jc w:val="center"/>
        <w:rPr>
          <w:rFonts w:ascii="Times New Roman" w:hAnsi="Times New Roman" w:cs="Times New Roman"/>
          <w:sz w:val="32"/>
          <w:szCs w:val="32"/>
        </w:rPr>
      </w:pPr>
    </w:p>
    <w:p w14:paraId="16E59096" w14:textId="77777777" w:rsidR="006B3D12" w:rsidRPr="006B3D12" w:rsidRDefault="006B3D12" w:rsidP="006B3D12">
      <w:pPr>
        <w:jc w:val="center"/>
        <w:rPr>
          <w:rFonts w:ascii="Times New Roman" w:hAnsi="Times New Roman" w:cs="Times New Roman"/>
          <w:sz w:val="32"/>
          <w:szCs w:val="32"/>
        </w:rPr>
      </w:pPr>
    </w:p>
    <w:p w14:paraId="17BC27AC" w14:textId="77777777" w:rsidR="006B3D12" w:rsidRPr="006B3D12" w:rsidRDefault="006B3D12" w:rsidP="006B3D12">
      <w:pPr>
        <w:jc w:val="center"/>
        <w:rPr>
          <w:rFonts w:ascii="Times New Roman" w:hAnsi="Times New Roman" w:cs="Times New Roman"/>
          <w:sz w:val="32"/>
          <w:szCs w:val="32"/>
        </w:rPr>
      </w:pPr>
    </w:p>
    <w:p w14:paraId="519ECEF0" w14:textId="77777777" w:rsidR="006B3D12" w:rsidRPr="006B3D12" w:rsidRDefault="006B3D12" w:rsidP="006B3D12">
      <w:pPr>
        <w:jc w:val="center"/>
        <w:rPr>
          <w:rFonts w:ascii="Times New Roman" w:hAnsi="Times New Roman" w:cs="Times New Roman"/>
          <w:sz w:val="32"/>
          <w:szCs w:val="32"/>
        </w:rPr>
      </w:pPr>
    </w:p>
    <w:p w14:paraId="3FD7D1C0" w14:textId="08D36CF6" w:rsidR="006B3D12" w:rsidRDefault="006B3D12" w:rsidP="006B3D12">
      <w:pPr>
        <w:jc w:val="center"/>
        <w:rPr>
          <w:rFonts w:ascii="Times New Roman" w:hAnsi="Times New Roman" w:cs="Times New Roman"/>
          <w:sz w:val="32"/>
          <w:szCs w:val="32"/>
        </w:rPr>
      </w:pPr>
      <w:r>
        <w:rPr>
          <w:rFonts w:ascii="Times New Roman" w:hAnsi="Times New Roman" w:cs="Times New Roman"/>
          <w:sz w:val="32"/>
          <w:szCs w:val="32"/>
        </w:rPr>
        <w:t xml:space="preserve">Simulated Portfolio - Risk Commentary</w:t>
      </w:r>
    </w:p>
    <w:p w14:paraId="71ABDC3B" w14:textId="77777777" w:rsidR="006B3D12" w:rsidRDefault="006B3D12" w:rsidP="006B3D12">
      <w:pPr>
        <w:pBdr>
          <w:bottom w:val="single" w:sz="12" w:space="1" w:color="auto"/>
        </w:pBdr>
        <w:jc w:val="center"/>
        <w:rPr>
          <w:rFonts w:ascii="Times New Roman" w:hAnsi="Times New Roman" w:cs="Times New Roman"/>
          <w:sz w:val="32"/>
          <w:szCs w:val="32"/>
        </w:rPr>
      </w:pPr>
    </w:p>
    <w:p w14:paraId="707FD280" w14:textId="6D1D8899" w:rsidR="006B3D12" w:rsidRDefault="006B3D12" w:rsidP="006B3D12">
      <w:pPr>
        <w:jc w:val="center"/>
        <w:rPr>
          <w:rFonts w:ascii="Times New Roman" w:hAnsi="Times New Roman" w:cs="Times New Roman"/>
          <w:sz w:val="32"/>
          <w:szCs w:val="32"/>
        </w:rPr>
      </w:pPr>
    </w:p>
    <w:p w14:paraId="2A006B35" w14:textId="7544EFE3" w:rsidR="006B3D12" w:rsidRDefault="006B3D12" w:rsidP="006B3D12">
      <w:pPr>
        <w:rPr>
          <w:rFonts w:ascii="Times New Roman" w:hAnsi="Times New Roman" w:cs="Times New Roman"/>
          <w:sz w:val="32"/>
          <w:szCs w:val="32"/>
        </w:rPr>
      </w:pPr>
    </w:p>
    <w:p w14:paraId="3F87DFBB" w14:textId="5D889076" w:rsidR="006B3D12" w:rsidRDefault="006B3D12" w:rsidP="006B3D12">
      <w:pPr>
        <w:rPr>
          <w:rFonts w:ascii="Times New Roman" w:hAnsi="Times New Roman" w:cs="Times New Roman"/>
          <w:sz w:val="32"/>
          <w:szCs w:val="32"/>
        </w:rPr>
      </w:pPr>
    </w:p>
    <w:p w14:paraId="5B1AE811" w14:textId="77777777" w:rsidR="006B3D12" w:rsidRDefault="006B3D12">
      <w:pPr>
        <w:pBdr>
          <w:bottom w:val="single" w:sz="12" w:space="1" w:color="auto"/>
        </w:pBdr>
        <w:rPr>
          <w:rFonts w:ascii="Times New Roman" w:hAnsi="Times New Roman" w:cs="Times New Roman"/>
          <w:sz w:val="32"/>
          <w:szCs w:val="32"/>
        </w:rPr>
      </w:pPr>
      <w:r>
        <w:rPr>
          <w:rFonts w:ascii="Times New Roman" w:hAnsi="Times New Roman" w:cs="Times New Roman"/>
          <w:sz w:val="32"/>
          <w:szCs w:val="32"/>
        </w:rPr>
        <w:br w:type="page"/>
      </w:r>
    </w:p>
    <w:p w14:paraId="1B48F125" w14:textId="77777777" w:rsidR="006B3D12" w:rsidRDefault="006B3D12">
      <w:pPr>
        <w:pBdr>
          <w:bottom w:val="single" w:sz="12" w:space="1" w:color="auto"/>
        </w:pBdr>
        <w:rPr>
          <w:rFonts w:ascii="Times New Roman" w:hAnsi="Times New Roman" w:cs="Times New Roman"/>
          <w:sz w:val="32"/>
          <w:szCs w:val="32"/>
        </w:rPr>
      </w:pPr>
    </w:p>
    <w:p w14:paraId="27CAE7F0" w14:textId="7AD0EB51" w:rsidR="006B3D12" w:rsidRDefault="006B3D12" w:rsidP="006B3D12">
      <w:pPr>
        <w:rPr>
          <w:rFonts w:ascii="Times New Roman" w:hAnsi="Times New Roman" w:cs="Times New Roman"/>
          <w:b/>
          <w:bCs/>
          <w:sz w:val="28"/>
          <w:szCs w:val="28"/>
        </w:rPr>
      </w:pPr>
      <w:r>
        <w:rPr>
          <w:rFonts w:ascii="Times New Roman" w:hAnsi="Times New Roman" w:cs="Times New Roman"/>
          <w:b/>
          <w:bCs/>
          <w:sz w:val="28"/>
          <w:szCs w:val="28"/>
        </w:rPr>
        <w:t>Portfolio Risk Overview – Week 1</w:t>
      </w:r>
    </w:p>
    <w:p w14:paraId="730A0158" w14:textId="79C7FFC5" w:rsidR="006B3D12" w:rsidRDefault="006B3D12" w:rsidP="006B3D12">
      <w:pPr>
        <w:rPr>
          <w:rFonts w:ascii="Times New Roman" w:hAnsi="Times New Roman" w:cs="Times New Roman"/>
        </w:rPr>
      </w:pPr>
      <w:r>
        <w:rPr>
          <w:rFonts w:ascii="Times New Roman" w:hAnsi="Times New Roman" w:cs="Times New Roman"/>
        </w:rPr>
        <w:t xml:space="preserve">Currently, the portfolio is heavily skewed toward equities, which make up 94% of the total allocation (including the ETF). Whilst this can provide strong growth potential, it does also expose my portfolio to higher volatility when compared to a more balanced portfolio. The bond allocation of 6% represents a modest defensive component, and should act as a stabilizer during adverse market conditions.</w:t>
      </w:r>
    </w:p>
    <w:p w14:paraId="4D8877A0" w14:textId="2BFF8AC1" w:rsidR="006B3D12" w:rsidRDefault="006B3D12" w:rsidP="006B3D12">
      <w:pPr>
        <w:rPr>
          <w:rFonts w:ascii="Times New Roman" w:hAnsi="Times New Roman" w:cs="Times New Roman"/>
        </w:rPr>
      </w:pPr>
      <w:r>
        <w:rPr>
          <w:rFonts w:ascii="Times New Roman" w:hAnsi="Times New Roman" w:cs="Times New Roman"/>
        </w:rPr>
        <w:t xml:space="preserve">Within the equities, risk is spread across key sectors – Technology (Apple, 33%), Financials (JPMorgan, 25%), Energy (BP, 23%), and Consumer Staples (Unilever, 20%). The technology and financials sectors are quite sensitive to US interest rates and also corporate earnings, whilst energy exposure is influenced by oil and gas price fluctuations. To balance some of this cyclical sector risk, the consumer staples will offer relative stability.</w:t>
      </w:r>
    </w:p>
    <w:p w14:paraId="441F995C" w14:textId="140D3B88" w:rsidR="007B4D66" w:rsidRDefault="007B4D66" w:rsidP="006B3D12">
      <w:pPr>
        <w:rPr>
          <w:rFonts w:ascii="Times New Roman" w:hAnsi="Times New Roman" w:cs="Times New Roman"/>
        </w:rPr>
      </w:pPr>
      <w:r>
        <w:rPr>
          <w:rFonts w:ascii="Times New Roman" w:hAnsi="Times New Roman" w:cs="Times New Roman"/>
        </w:rPr>
        <w:t xml:space="preserve">Geographically, the portfolio has a strong US bias (~65%), with UK exposure at ~30% and global bonds at ~5%. This heavy bias towards the US makes the portfolio more vulnerable to US macroeconomic indicators, Federal Reserve policy decisions, and currency movements. UK holdings such as Unilever and BP do ensure some diversification and exposure to the European market trends with exposure to the UK regulatory developments. </w:t>
      </w:r>
    </w:p>
    <w:p w14:paraId="692B4F1B" w14:textId="53BA4789" w:rsidR="007B4D66" w:rsidRDefault="007B4D66" w:rsidP="006B3D12">
      <w:pPr>
        <w:rPr>
          <w:rFonts w:ascii="Times New Roman" w:hAnsi="Times New Roman" w:cs="Times New Roman"/>
        </w:rPr>
      </w:pPr>
      <w:r>
        <w:rPr>
          <w:rFonts w:ascii="Times New Roman" w:hAnsi="Times New Roman" w:cs="Times New Roman"/>
        </w:rPr>
        <w:t xml:space="preserve">To manage risk over the course of this simulation, a rebalance threshold of ±3% per asset has been applied. This will ensure allocations remain close to their targets, controlling sector and geographic drift whilst also maintaining exposure to potential growth opportunities. I will closely monitor macro drivers such as US interest rate changes, oil prices, and major earnings announcements so any required adjustments and rebalancing decisions can be made.</w:t>
      </w:r>
    </w:p>
    <w:p w14:paraId="5F132230" w14:textId="77777777" w:rsidR="00D15E96" w:rsidRDefault="00D15E96" w:rsidP="006B3D12">
      <w:pPr>
        <w:rPr>
          <w:rFonts w:ascii="Times New Roman" w:hAnsi="Times New Roman" w:cs="Times New Roman"/>
        </w:rPr>
      </w:pPr>
    </w:p>
    <w:p w14:paraId="0F26E636" w14:textId="77777777" w:rsidR="00D15E96" w:rsidRDefault="00D15E96" w:rsidP="006B3D12">
      <w:pPr>
        <w:pBdr>
          <w:bottom w:val="single" w:sz="12" w:space="1" w:color="auto"/>
        </w:pBdr>
        <w:rPr>
          <w:rFonts w:ascii="Times New Roman" w:hAnsi="Times New Roman" w:cs="Times New Roman"/>
        </w:rPr>
      </w:pPr>
    </w:p>
    <w:p w14:paraId="038C90C3" w14:textId="248DC3B5" w:rsidR="00D15E96" w:rsidRDefault="00D15E96" w:rsidP="006B3D12">
      <w:pPr>
        <w:rPr>
          <w:rFonts w:ascii="Times New Roman" w:hAnsi="Times New Roman" w:cs="Times New Roman"/>
          <w:b/>
          <w:bCs/>
          <w:sz w:val="28"/>
          <w:szCs w:val="28"/>
        </w:rPr>
      </w:pPr>
      <w:r>
        <w:rPr>
          <w:rFonts w:ascii="Times New Roman" w:hAnsi="Times New Roman" w:cs="Times New Roman"/>
          <w:b/>
          <w:bCs/>
          <w:sz w:val="28"/>
          <w:szCs w:val="28"/>
        </w:rPr>
        <w:t>Portfolio Risk Overview – Week 2</w:t>
      </w:r>
    </w:p>
    <w:p w14:paraId="1C637086" w14:textId="77777777" w:rsidR="00D15E96" w:rsidRPr="00D15E96" w:rsidRDefault="00D15E96" w:rsidP="00D15E96">
      <w:pPr>
        <w:rPr>
          <w:rFonts w:ascii="Times New Roman" w:hAnsi="Times New Roman" w:cs="Times New Roman"/>
        </w:rPr>
      </w:pPr>
      <w:r>
        <w:rPr>
          <w:rFonts w:ascii="Times New Roman" w:hAnsi="Times New Roman" w:cs="Times New Roman"/>
        </w:rPr>
        <w:t>The portfolio remains equity-heavy, with returns primarily driven by a small number of large equity positions. Overall volatility was contained this week, but downside risk remains asymmetric due to concentration in mega-cap and cyclical equities.</w:t>
      </w:r>
    </w:p>
    <w:p w14:paraId="114D8442" w14:textId="02864963" w:rsidR="00D15E96" w:rsidRPr="00D15E96" w:rsidRDefault="00D15E96" w:rsidP="00D15E96">
      <w:pPr>
        <w:rPr>
          <w:rFonts w:ascii="Times New Roman" w:hAnsi="Times New Roman" w:cs="Times New Roman"/>
        </w:rPr>
      </w:pPr>
      <w:r>
        <w:rPr>
          <w:rFonts w:ascii="Times New Roman" w:hAnsi="Times New Roman" w:cs="Times New Roman"/>
        </w:rPr>
        <w:t xml:space="preserve">Apple (26.49%) is the dominant risk contributor. While performance was positive this week, portfolio outcomes remain highly sensitive to single-name moves. Concentration is intentional but increases idiosyncratic risk around earnings and sentiment shifts.</w:t>
      </w:r>
    </w:p>
    <w:p w14:paraId="6C409FD6" w14:textId="2F422FF3" w:rsidR="00D15E96" w:rsidRDefault="00D15E96" w:rsidP="00D15E96">
      <w:pPr>
        <w:rPr>
          <w:rFonts w:ascii="Times New Roman" w:hAnsi="Times New Roman" w:cs="Times New Roman"/>
        </w:rPr>
      </w:pPr>
      <w:r>
        <w:rPr>
          <w:rFonts w:ascii="Times New Roman" w:hAnsi="Times New Roman" w:cs="Times New Roman"/>
        </w:rPr>
        <w:t xml:space="preserve">Exposure spans technology, energy, financials, and consumer staples, which reduced volatility this week. Financials (JPM) underperformed, while energy (BP) and defensive consumer exposure (Unilever) provided a positive offset.</w:t>
      </w:r>
    </w:p>
    <w:p w14:paraId="7B208B12" w14:textId="77777777" w:rsidR="00D15E96" w:rsidRDefault="00D15E96" w:rsidP="00D15E96">
      <w:pPr>
        <w:rPr>
          <w:rFonts w:ascii="Times New Roman" w:hAnsi="Times New Roman" w:cs="Times New Roman"/>
        </w:rPr>
      </w:pPr>
      <w:r>
        <w:rPr>
          <w:rFonts w:ascii="Times New Roman" w:hAnsi="Times New Roman" w:cs="Times New Roman"/>
        </w:rPr>
        <w:lastRenderedPageBreak/>
        <w:t xml:space="preserve">Passive equity exposure via CSP1 introduced systematic downside as broader markets weakened. Active stock selection partially insulated returns but did not fully offset market beta.</w:t>
      </w:r>
    </w:p>
    <w:p w14:paraId="02C67813" w14:textId="47B7931C" w:rsidR="00D15E96" w:rsidRPr="00D15E96" w:rsidRDefault="00D15E96" w:rsidP="00D15E96">
      <w:pPr>
        <w:rPr>
          <w:rFonts w:ascii="Times New Roman" w:hAnsi="Times New Roman" w:cs="Times New Roman"/>
        </w:rPr>
      </w:pPr>
      <w:r>
        <w:rPr>
          <w:rFonts w:ascii="Times New Roman" w:hAnsi="Times New Roman" w:cs="Times New Roman"/>
        </w:rPr>
        <w:t xml:space="preserve">Bond exposure (VGOV) declined modestly and remains underweight vs target, limiting its effectiveness as a volatility hedge. The portfolio currently has reduced protection against sharp equity drawdowns or rate-driven shocks.</w:t>
      </w:r>
    </w:p>
    <w:p w14:paraId="12F92FC5" w14:textId="3EA2BA04" w:rsidR="00D15E96" w:rsidRDefault="00D15E96" w:rsidP="00D15E96">
      <w:pPr>
        <w:rPr>
          <w:rFonts w:ascii="Times New Roman" w:hAnsi="Times New Roman" w:cs="Times New Roman"/>
        </w:rPr>
      </w:pPr>
      <w:r>
        <w:rPr>
          <w:rFonts w:ascii="Times New Roman" w:hAnsi="Times New Roman" w:cs="Times New Roman"/>
        </w:rPr>
        <w:t>Overall, risk remains controlled but skewed toward equity downside, particularly if negative macro or earnings-related catalysts emerge.</w:t>
      </w:r>
    </w:p>
    <w:p w14:paraId="21F0F374" w14:textId="77777777" w:rsidR="00F3624A" w:rsidRPr="00D15E96" w:rsidRDefault="00F3624A" w:rsidP="00D15E96">
      <w:pPr>
        <w:rPr>
          <w:rFonts w:ascii="Times New Roman" w:hAnsi="Times New Roman" w:cs="Times New Roman"/>
        </w:rPr>
      </w:pPr>
    </w:p>
    <w:p w14:paraId="3E8E43CA" w14:textId="77777777" w:rsidR="00D15E96" w:rsidRDefault="00D15E96" w:rsidP="006B3D12">
      <w:pPr>
        <w:pBdr>
          <w:bottom w:val="single" w:sz="12" w:space="1" w:color="auto"/>
        </w:pBdr>
        <w:rPr>
          <w:rFonts w:ascii="Times New Roman" w:hAnsi="Times New Roman" w:cs="Times New Roman"/>
        </w:rPr>
      </w:pPr>
    </w:p>
    <w:p w14:paraId="0CAF9B2F" w14:textId="6A288D64" w:rsidR="00F3624A" w:rsidRDefault="00F3624A" w:rsidP="006B3D12">
      <w:pPr>
        <w:rPr>
          <w:rFonts w:ascii="Times New Roman" w:hAnsi="Times New Roman" w:cs="Times New Roman"/>
          <w:b/>
          <w:bCs/>
          <w:sz w:val="28"/>
          <w:szCs w:val="28"/>
        </w:rPr>
      </w:pPr>
      <w:r>
        <w:rPr>
          <w:rFonts w:ascii="Times New Roman" w:hAnsi="Times New Roman" w:cs="Times New Roman"/>
          <w:b/>
          <w:bCs/>
          <w:sz w:val="28"/>
          <w:szCs w:val="28"/>
        </w:rPr>
        <w:t>Portfolio Risk Overview – Week 3</w:t>
      </w:r>
    </w:p>
    <w:p w14:paraId="730A0158" w14:textId="79C7FFC5" w:rsidR="006B3D12" w:rsidRDefault="006B3D12" w:rsidP="006B3D12">
      <w:pPr>
        <w:rPr>
          <w:rFonts w:ascii="Times New Roman" w:hAnsi="Times New Roman" w:cs="Times New Roman"/>
        </w:rPr>
      </w:pPr>
      <w:r>
        <w:rPr>
          <w:rFonts w:ascii="Times New Roman" w:hAnsi="Times New Roman" w:cs="Times New Roman"/>
        </w:rPr>
        <w:t xml:space="preserve">Commentary for this week was not recorded.</w:t>
      </w:r>
    </w:p>
    <w:p w14:paraId="0FE724B0" w14:textId="72FE2659" w:rsidR="00F3624A" w:rsidRDefault="00F3624A" w:rsidP="00F3624A">
      <w:pPr>
        <w:rPr>
          <w:rFonts w:ascii="Times New Roman" w:hAnsi="Times New Roman" w:cs="Times New Roman"/>
          <w:b/>
          <w:bCs/>
          <w:sz w:val="28"/>
          <w:szCs w:val="28"/>
        </w:rPr>
      </w:pPr>
      <w:r>
        <w:rPr>
          <w:rFonts w:ascii="Times New Roman" w:hAnsi="Times New Roman" w:cs="Times New Roman"/>
          <w:b/>
          <w:bCs/>
          <w:sz w:val="28"/>
          <w:szCs w:val="28"/>
        </w:rPr>
        <w:t>Portfolio Risk Overview – Week 4</w:t>
      </w:r>
    </w:p>
    <w:p w14:paraId="3DD7B1B7" w14:textId="77777777" w:rsidR="00F3624A" w:rsidRPr="00F3624A" w:rsidRDefault="00F3624A" w:rsidP="00F3624A">
      <w:pPr>
        <w:pStyle w:val="NormalWeb"/>
        <w:rPr>
          <w:color w:val="000000"/>
        </w:rPr>
      </w:pPr>
      <w:r>
        <w:rPr>
          <w:color w:val="000000"/>
        </w:rPr>
        <w:t>During this week, global financial markets experienced increased volatility due to escalating geopolitical tensions in the Middle East, particularly the conflict involving Iran, Israel, and the United States. The situation has disrupted energy markets, with shipping activity through the Strait of Hormuz significantly reduced. As approximately one-fifth of global oil supply typically passes through this route, markets quickly priced in a geopolitical risk premium, resulting in a sharp rise in oil prices.</w:t>
      </w:r>
      <w:r>
        <w:rPr>
          <w:rStyle w:val="apple-converted-space"/>
          <w:rFonts w:eastAsiaTheme="majorEastAsia"/>
          <w:color w:val="000000"/>
        </w:rPr>
        <w:t> </w:t>
      </w:r>
    </w:p>
    <w:p w14:paraId="16C980F7" w14:textId="77777777" w:rsidR="00F3624A" w:rsidRPr="00F3624A" w:rsidRDefault="00F3624A" w:rsidP="00F3624A">
      <w:pPr>
        <w:pStyle w:val="NormalWeb"/>
        <w:rPr>
          <w:color w:val="000000"/>
        </w:rPr>
      </w:pPr>
      <w:r>
        <w:rPr>
          <w:color w:val="000000"/>
        </w:rPr>
        <w:t>For the portfolio, this environment created</w:t>
      </w:r>
      <w:r>
        <w:rPr>
          <w:rStyle w:val="apple-converted-space"/>
          <w:rFonts w:eastAsiaTheme="majorEastAsia"/>
          <w:color w:val="000000"/>
        </w:rPr>
        <w:t> </w:t>
      </w:r>
      <w:r>
        <w:rPr>
          <w:rStyle w:val="Strong"/>
          <w:rFonts w:eastAsiaTheme="majorEastAsia"/>
          <w:b w:val="0"/>
          <w:bCs w:val="0"/>
          <w:color w:val="000000"/>
        </w:rPr>
        <w:t>mixed sector impacts</w:t>
      </w:r>
      <w:r>
        <w:rPr>
          <w:color w:val="000000"/>
        </w:rPr>
        <w:t>. The energy allocation through</w:t>
      </w:r>
      <w:r>
        <w:rPr>
          <w:rStyle w:val="apple-converted-space"/>
          <w:rFonts w:eastAsiaTheme="majorEastAsia"/>
          <w:color w:val="000000"/>
        </w:rPr>
        <w:t> </w:t>
      </w:r>
      <w:r>
        <w:rPr>
          <w:rStyle w:val="Strong"/>
          <w:rFonts w:eastAsiaTheme="majorEastAsia"/>
          <w:b w:val="0"/>
          <w:bCs w:val="0"/>
          <w:color w:val="000000"/>
        </w:rPr>
        <w:t>BP</w:t>
      </w:r>
      <w:r>
        <w:rPr>
          <w:rStyle w:val="apple-converted-space"/>
          <w:rFonts w:eastAsiaTheme="majorEastAsia"/>
          <w:color w:val="000000"/>
        </w:rPr>
        <w:t> </w:t>
      </w:r>
      <w:r>
        <w:rPr>
          <w:color w:val="000000"/>
        </w:rPr>
        <w:t>benefited from rising oil prices, as supply disruptions and heightened geopolitical uncertainty supported stronger crude price expectations. This position therefore acted as a partial hedge against broader market volatility.</w:t>
      </w:r>
    </w:p>
    <w:p w14:paraId="4B654225" w14:textId="77777777" w:rsidR="00F3624A" w:rsidRPr="00F3624A" w:rsidRDefault="00F3624A" w:rsidP="00F3624A">
      <w:pPr>
        <w:pStyle w:val="NormalWeb"/>
        <w:rPr>
          <w:color w:val="000000"/>
        </w:rPr>
      </w:pPr>
      <w:r>
        <w:rPr>
          <w:color w:val="000000"/>
        </w:rPr>
        <w:t>Conversely, global equity markets reacted negatively to the heightened uncertainty, which placed pressure on cyclical and growth-oriented assets. Technology stocks, including</w:t>
      </w:r>
      <w:r>
        <w:rPr>
          <w:rStyle w:val="apple-converted-space"/>
          <w:rFonts w:eastAsiaTheme="majorEastAsia"/>
          <w:color w:val="000000"/>
        </w:rPr>
        <w:t> </w:t>
      </w:r>
      <w:r>
        <w:rPr>
          <w:rStyle w:val="Strong"/>
          <w:rFonts w:eastAsiaTheme="majorEastAsia"/>
          <w:b w:val="0"/>
          <w:bCs w:val="0"/>
          <w:color w:val="000000"/>
        </w:rPr>
        <w:t>Apple</w:t>
      </w:r>
      <w:r>
        <w:rPr>
          <w:color w:val="000000"/>
        </w:rPr>
        <w:t>, faced increased volatility as investors rotated toward defensive sectors and safe-haven assets. Similarly, financial institutions such as</w:t>
      </w:r>
      <w:r>
        <w:rPr>
          <w:rStyle w:val="apple-converted-space"/>
          <w:rFonts w:eastAsiaTheme="majorEastAsia"/>
          <w:color w:val="000000"/>
        </w:rPr>
        <w:t> </w:t>
      </w:r>
      <w:r>
        <w:rPr>
          <w:rStyle w:val="Strong"/>
          <w:rFonts w:eastAsiaTheme="majorEastAsia"/>
          <w:b w:val="0"/>
          <w:bCs w:val="0"/>
          <w:color w:val="000000"/>
        </w:rPr>
        <w:t>JPMorgan</w:t>
      </w:r>
      <w:r>
        <w:rPr>
          <w:rStyle w:val="apple-converted-space"/>
          <w:rFonts w:eastAsiaTheme="majorEastAsia"/>
          <w:color w:val="000000"/>
        </w:rPr>
        <w:t> </w:t>
      </w:r>
      <w:r>
        <w:rPr>
          <w:color w:val="000000"/>
        </w:rPr>
        <w:t>are exposed to market sentiment and macroeconomic conditions, meaning prolonged geopolitical instability could dampen lending activity and capital market transactions.</w:t>
      </w:r>
    </w:p>
    <w:p w14:paraId="06A76B0C" w14:textId="77777777" w:rsidR="00F3624A" w:rsidRPr="00F3624A" w:rsidRDefault="00F3624A" w:rsidP="00F3624A">
      <w:pPr>
        <w:pStyle w:val="NormalWeb"/>
        <w:rPr>
          <w:color w:val="000000"/>
        </w:rPr>
      </w:pPr>
      <w:r>
        <w:rPr>
          <w:color w:val="000000"/>
        </w:rPr>
        <w:t>The</w:t>
      </w:r>
      <w:r>
        <w:rPr>
          <w:rStyle w:val="apple-converted-space"/>
          <w:rFonts w:eastAsiaTheme="majorEastAsia"/>
          <w:color w:val="000000"/>
        </w:rPr>
        <w:t> </w:t>
      </w:r>
      <w:r>
        <w:rPr>
          <w:rStyle w:val="Strong"/>
          <w:rFonts w:eastAsiaTheme="majorEastAsia"/>
          <w:b w:val="0"/>
          <w:bCs w:val="0"/>
          <w:color w:val="000000"/>
        </w:rPr>
        <w:t>S&amp;P 500 ETF (CSP1)</w:t>
      </w:r>
      <w:r>
        <w:rPr>
          <w:rStyle w:val="apple-converted-space"/>
          <w:rFonts w:eastAsiaTheme="majorEastAsia"/>
          <w:color w:val="000000"/>
        </w:rPr>
        <w:t> </w:t>
      </w:r>
      <w:r>
        <w:rPr>
          <w:color w:val="000000"/>
        </w:rPr>
        <w:t>experienced broader market-driven volatility as geopolitical risk led to equity selloffs across major indices. Meanwhile, the defensive allocation to</w:t>
      </w:r>
      <w:r>
        <w:rPr>
          <w:rStyle w:val="apple-converted-space"/>
          <w:rFonts w:eastAsiaTheme="majorEastAsia"/>
          <w:color w:val="000000"/>
        </w:rPr>
        <w:t> </w:t>
      </w:r>
      <w:r>
        <w:rPr>
          <w:rStyle w:val="Strong"/>
          <w:rFonts w:eastAsiaTheme="majorEastAsia"/>
          <w:b w:val="0"/>
          <w:bCs w:val="0"/>
          <w:color w:val="000000"/>
        </w:rPr>
        <w:t>Unilever</w:t>
      </w:r>
      <w:r>
        <w:rPr>
          <w:rStyle w:val="apple-converted-space"/>
          <w:rFonts w:eastAsiaTheme="majorEastAsia"/>
          <w:color w:val="000000"/>
        </w:rPr>
        <w:t> </w:t>
      </w:r>
      <w:r>
        <w:rPr>
          <w:color w:val="000000"/>
        </w:rPr>
        <w:t>helped provide relative stability due to its consumer staples positioning, which tends to be less sensitive to economic cycles.</w:t>
      </w:r>
    </w:p>
    <w:p w14:paraId="5FC26A86" w14:textId="77777777" w:rsidR="00F3624A" w:rsidRPr="00F3624A" w:rsidRDefault="00F3624A" w:rsidP="00F3624A">
      <w:pPr>
        <w:pStyle w:val="NormalWeb"/>
        <w:rPr>
          <w:color w:val="000000"/>
        </w:rPr>
      </w:pPr>
      <w:r>
        <w:rPr>
          <w:color w:val="000000"/>
        </w:rPr>
        <w:t>The bond allocation via</w:t>
      </w:r>
      <w:r>
        <w:rPr>
          <w:rStyle w:val="apple-converted-space"/>
          <w:rFonts w:eastAsiaTheme="majorEastAsia"/>
          <w:color w:val="000000"/>
        </w:rPr>
        <w:t> </w:t>
      </w:r>
      <w:r>
        <w:rPr>
          <w:rStyle w:val="Strong"/>
          <w:rFonts w:eastAsiaTheme="majorEastAsia"/>
          <w:b w:val="0"/>
          <w:bCs w:val="0"/>
          <w:color w:val="000000"/>
        </w:rPr>
        <w:t>VGOV</w:t>
      </w:r>
      <w:r>
        <w:rPr>
          <w:rStyle w:val="apple-converted-space"/>
          <w:rFonts w:eastAsiaTheme="majorEastAsia"/>
          <w:color w:val="000000"/>
        </w:rPr>
        <w:t> </w:t>
      </w:r>
      <w:r>
        <w:rPr>
          <w:color w:val="000000"/>
        </w:rPr>
        <w:t>continued to offer diversification benefits; however, rising inflation expectations due to higher energy prices could place upward pressure on yields, potentially limiting short-term bond price appreciation.</w:t>
      </w:r>
    </w:p>
    <w:p w14:paraId="407D753D" w14:textId="77777777" w:rsidR="00F3624A" w:rsidRDefault="00F3624A" w:rsidP="00F3624A">
      <w:pPr>
        <w:pStyle w:val="NormalWeb"/>
        <w:pBdr>
          <w:bottom w:val="single" w:sz="12" w:space="1" w:color="auto"/>
        </w:pBdr>
        <w:rPr>
          <w:color w:val="000000"/>
        </w:rPr>
      </w:pPr>
      <w:r>
        <w:rPr>
          <w:color w:val="000000"/>
        </w:rPr>
        <w:t>Overall, the portfolio’s sector diversification provided some resilience during a period of global uncertainty, though the heavy equity exposure continues to leave the portfolio vulnerable to broader market sentiment shifts.</w:t>
      </w:r>
    </w:p>
    <w:p w14:paraId="1670EE2E" w14:textId="77777777" w:rsidR="00F3624A" w:rsidRPr="00F3624A" w:rsidRDefault="00F3624A" w:rsidP="00F3624A">
      <w:pPr>
        <w:pStyle w:val="NormalWeb"/>
        <w:pBdr>
          <w:bottom w:val="single" w:sz="12" w:space="1" w:color="auto"/>
        </w:pBdr>
        <w:rPr>
          <w:color w:val="000000"/>
        </w:rPr>
      </w:pPr>
    </w:p>
    <w:p w14:paraId="4844ADA1" w14:textId="3129911B" w:rsidR="00F3624A" w:rsidRDefault="00F3624A" w:rsidP="00F3624A">
      <w:pPr>
        <w:rPr>
          <w:rFonts w:ascii="Times New Roman" w:hAnsi="Times New Roman" w:cs="Times New Roman"/>
          <w:b/>
          <w:bCs/>
          <w:sz w:val="28"/>
          <w:szCs w:val="28"/>
        </w:rPr>
      </w:pPr>
      <w:r>
        <w:rPr>
          <w:rFonts w:ascii="Times New Roman" w:hAnsi="Times New Roman" w:cs="Times New Roman"/>
          <w:b/>
          <w:bCs/>
          <w:sz w:val="28"/>
          <w:szCs w:val="28"/>
        </w:rPr>
        <w:lastRenderedPageBreak/>
        <w:t>Portfolio Risk Overview – Week 5</w:t>
      </w:r>
    </w:p>
    <w:p w14:paraId="32E756DF" w14:textId="77777777" w:rsidR="00D36465" w:rsidRPr="00D36465" w:rsidRDefault="00D36465" w:rsidP="00D36465">
      <w:pPr>
        <w:pStyle w:val="NormalWeb"/>
        <w:rPr>
          <w:color w:val="000000"/>
        </w:rPr>
      </w:pPr>
      <w:r>
        <w:rPr>
          <w:color w:val="000000"/>
        </w:rPr>
        <w:t>The global macroeconomic environment this week continued to be shaped by the ongoing Middle East conflict and its spillover effects on energy markets, inflation expectations, and investor sentiment. Oil prices remained elevated due to concerns surrounding energy supply disruptions, which has increased inflationary pressures across many economies.</w:t>
      </w:r>
    </w:p>
    <w:p w14:paraId="6FFC6D92" w14:textId="77777777" w:rsidR="00D36465" w:rsidRPr="00D36465" w:rsidRDefault="00D36465" w:rsidP="00D36465">
      <w:pPr>
        <w:pStyle w:val="NormalWeb"/>
        <w:rPr>
          <w:color w:val="000000"/>
        </w:rPr>
      </w:pPr>
      <w:r>
        <w:rPr>
          <w:color w:val="000000"/>
        </w:rPr>
        <w:t>Higher energy prices have important implications for central bank policy. Rising inflation expectations may delay potential interest rate cuts from major central banks such as the Federal Reserve and the Bank of England. This environment tends to create volatility in both equity and bond markets, as investors reassess growth expectations and discount rates.</w:t>
      </w:r>
    </w:p>
    <w:p w14:paraId="42045B99" w14:textId="77777777" w:rsidR="00D36465" w:rsidRPr="00D36465" w:rsidRDefault="00D36465" w:rsidP="00D36465">
      <w:pPr>
        <w:pStyle w:val="NormalWeb"/>
        <w:rPr>
          <w:color w:val="000000"/>
        </w:rPr>
      </w:pPr>
      <w:r>
        <w:rPr>
          <w:color w:val="000000"/>
        </w:rPr>
        <w:t>For the portfolio,</w:t>
      </w:r>
      <w:r>
        <w:rPr>
          <w:rStyle w:val="apple-converted-space"/>
          <w:rFonts w:eastAsiaTheme="majorEastAsia"/>
          <w:color w:val="000000"/>
        </w:rPr>
        <w:t> </w:t>
      </w:r>
      <w:r>
        <w:rPr>
          <w:rStyle w:val="Strong"/>
          <w:rFonts w:eastAsiaTheme="majorEastAsia"/>
          <w:b w:val="0"/>
          <w:bCs w:val="0"/>
          <w:color w:val="000000"/>
        </w:rPr>
        <w:t>energy exposure through BP remained a key contributor</w:t>
      </w:r>
      <w:r>
        <w:rPr>
          <w:color w:val="000000"/>
        </w:rPr>
        <w:t>, benefiting from the elevated oil price environment. Energy companies often outperform during supply shocks, as higher crude prices directly support revenue and profitability.</w:t>
      </w:r>
    </w:p>
    <w:p w14:paraId="3C3AC317" w14:textId="77777777" w:rsidR="00D36465" w:rsidRPr="00D36465" w:rsidRDefault="00D36465" w:rsidP="00D36465">
      <w:pPr>
        <w:pStyle w:val="NormalWeb"/>
        <w:rPr>
          <w:color w:val="000000"/>
        </w:rPr>
      </w:pPr>
      <w:r>
        <w:rPr>
          <w:color w:val="000000"/>
        </w:rPr>
        <w:t>However, sustained high oil prices can also negatively affect broader economic growth by increasing input costs across industries. This may weigh on global equity markets and indirectly affect holdings such as</w:t>
      </w:r>
      <w:r>
        <w:rPr>
          <w:rStyle w:val="apple-converted-space"/>
          <w:rFonts w:eastAsiaTheme="majorEastAsia"/>
          <w:color w:val="000000"/>
        </w:rPr>
        <w:t> </w:t>
      </w:r>
      <w:r>
        <w:rPr>
          <w:rStyle w:val="Strong"/>
          <w:rFonts w:eastAsiaTheme="majorEastAsia"/>
          <w:b w:val="0"/>
          <w:bCs w:val="0"/>
          <w:color w:val="000000"/>
        </w:rPr>
        <w:t>Apple</w:t>
      </w:r>
      <w:r>
        <w:rPr>
          <w:b/>
          <w:bCs/>
          <w:color w:val="000000"/>
        </w:rPr>
        <w:t>,</w:t>
      </w:r>
      <w:r>
        <w:rPr>
          <w:rStyle w:val="apple-converted-space"/>
          <w:rFonts w:eastAsiaTheme="majorEastAsia"/>
          <w:b/>
          <w:bCs/>
          <w:color w:val="000000"/>
        </w:rPr>
        <w:t> </w:t>
      </w:r>
      <w:r>
        <w:rPr>
          <w:rStyle w:val="Strong"/>
          <w:rFonts w:eastAsiaTheme="majorEastAsia"/>
          <w:b w:val="0"/>
          <w:bCs w:val="0"/>
          <w:color w:val="000000"/>
        </w:rPr>
        <w:t>JPMorgan</w:t>
      </w:r>
      <w:r>
        <w:rPr>
          <w:color w:val="000000"/>
        </w:rPr>
        <w:t>, and the</w:t>
      </w:r>
      <w:r>
        <w:rPr>
          <w:rStyle w:val="apple-converted-space"/>
          <w:rFonts w:eastAsiaTheme="majorEastAsia"/>
          <w:color w:val="000000"/>
        </w:rPr>
        <w:t> </w:t>
      </w:r>
      <w:r>
        <w:rPr>
          <w:rStyle w:val="Strong"/>
          <w:rFonts w:eastAsiaTheme="majorEastAsia"/>
          <w:b w:val="0"/>
          <w:bCs w:val="0"/>
          <w:color w:val="000000"/>
        </w:rPr>
        <w:t>S&amp;P 500 ETF</w:t>
      </w:r>
      <w:r>
        <w:rPr>
          <w:color w:val="000000"/>
        </w:rPr>
        <w:t xml:space="preserve">. In particular, financial institutions could face increased credit risk if higher energy costs slow economic activity or increase corporate default risk.</w:t>
      </w:r>
    </w:p>
    <w:p w14:paraId="355B2046" w14:textId="77777777" w:rsidR="00D36465" w:rsidRPr="00D36465" w:rsidRDefault="00D36465" w:rsidP="00D36465">
      <w:pPr>
        <w:pStyle w:val="NormalWeb"/>
        <w:rPr>
          <w:color w:val="000000"/>
        </w:rPr>
      </w:pPr>
      <w:r>
        <w:rPr>
          <w:color w:val="000000"/>
        </w:rPr>
        <w:t>The</w:t>
      </w:r>
      <w:r>
        <w:rPr>
          <w:rStyle w:val="apple-converted-space"/>
          <w:rFonts w:eastAsiaTheme="majorEastAsia"/>
          <w:color w:val="000000"/>
        </w:rPr>
        <w:t> </w:t>
      </w:r>
      <w:r>
        <w:rPr>
          <w:rStyle w:val="Strong"/>
          <w:rFonts w:eastAsiaTheme="majorEastAsia"/>
          <w:b w:val="0"/>
          <w:bCs w:val="0"/>
          <w:color w:val="000000"/>
        </w:rPr>
        <w:t>consumer staples exposure through Unilever</w:t>
      </w:r>
      <w:r>
        <w:rPr>
          <w:rStyle w:val="apple-converted-space"/>
          <w:rFonts w:eastAsiaTheme="majorEastAsia"/>
          <w:color w:val="000000"/>
        </w:rPr>
        <w:t> </w:t>
      </w:r>
      <w:r>
        <w:rPr>
          <w:color w:val="000000"/>
        </w:rPr>
        <w:t>continued to provide defensive characteristics, as demand for essential goods tends to remain stable during periods of economic uncertainty. This position therefore helps mitigate some cyclical risk within the portfolio.</w:t>
      </w:r>
    </w:p>
    <w:p w14:paraId="03F1EBE2" w14:textId="77777777" w:rsidR="00D36465" w:rsidRPr="00D36465" w:rsidRDefault="00D36465" w:rsidP="00D36465">
      <w:pPr>
        <w:pStyle w:val="NormalWeb"/>
        <w:rPr>
          <w:color w:val="000000"/>
        </w:rPr>
      </w:pPr>
      <w:r>
        <w:rPr>
          <w:color w:val="000000"/>
        </w:rPr>
        <w:t>The</w:t>
      </w:r>
      <w:r>
        <w:rPr>
          <w:rStyle w:val="apple-converted-space"/>
          <w:rFonts w:eastAsiaTheme="majorEastAsia"/>
          <w:color w:val="000000"/>
        </w:rPr>
        <w:t> </w:t>
      </w:r>
      <w:r>
        <w:rPr>
          <w:rStyle w:val="Strong"/>
          <w:rFonts w:eastAsiaTheme="majorEastAsia"/>
          <w:b w:val="0"/>
          <w:bCs w:val="0"/>
          <w:color w:val="000000"/>
        </w:rPr>
        <w:t>bond allocation (VGOV)</w:t>
      </w:r>
      <w:r>
        <w:rPr>
          <w:rStyle w:val="apple-converted-space"/>
          <w:rFonts w:eastAsiaTheme="majorEastAsia"/>
          <w:color w:val="000000"/>
        </w:rPr>
        <w:t> </w:t>
      </w:r>
      <w:r>
        <w:rPr>
          <w:color w:val="000000"/>
        </w:rPr>
        <w:t xml:space="preserve">remains important from a risk-management perspective. In the event that geopolitical tensions escalate further and global growth expectations deteriorate, bonds could benefit from a flight-to-safety dynamic. However, this effect may be partially offset if inflation expectations remain elevated due to persistent energy price shocks.</w:t>
      </w:r>
    </w:p>
    <w:p w14:paraId="72F2F765" w14:textId="77777777" w:rsidR="00D36465" w:rsidRPr="00D36465" w:rsidRDefault="00D36465" w:rsidP="00D36465">
      <w:pPr>
        <w:pStyle w:val="NormalWeb"/>
        <w:rPr>
          <w:color w:val="000000"/>
        </w:rPr>
      </w:pPr>
      <w:r>
        <w:rPr>
          <w:color w:val="000000"/>
        </w:rPr>
        <w:t>Overall, the portfolio continues to face a complex macroeconomic environment characterized by</w:t>
      </w:r>
      <w:r>
        <w:rPr>
          <w:rStyle w:val="apple-converted-space"/>
          <w:rFonts w:eastAsiaTheme="majorEastAsia"/>
          <w:color w:val="000000"/>
        </w:rPr>
        <w:t> </w:t>
      </w:r>
      <w:r>
        <w:rPr>
          <w:rStyle w:val="Strong"/>
          <w:rFonts w:eastAsiaTheme="majorEastAsia"/>
          <w:b w:val="0"/>
          <w:bCs w:val="0"/>
          <w:color w:val="000000"/>
        </w:rPr>
        <w:t>geopolitical risk, inflation uncertainty, and volatile commodity markets</w:t>
      </w:r>
      <w:r>
        <w:rPr>
          <w:b/>
          <w:bCs/>
          <w:color w:val="000000"/>
        </w:rPr>
        <w:t>.</w:t>
      </w:r>
      <w:r>
        <w:rPr>
          <w:color w:val="000000"/>
        </w:rPr>
        <w:t xml:space="preserve"> While diversification across sectors provides some protection, the portfolio remains sensitive to global equity market movements given its high equity weighting.</w:t>
      </w:r>
    </w:p>
    <w:p w14:paraId="6A78500D" w14:textId="77777777" w:rsidR="00F3624A" w:rsidRPr="00F3624A" w:rsidRDefault="00F3624A" w:rsidP="00F3624A">
      <w:pPr>
        <w:rPr>
          <w:rFonts w:ascii="Times New Roman" w:hAnsi="Times New Roman" w:cs="Times New Roman"/>
        </w:rPr>
      </w:pPr>
    </w:p>
    <w:p w14:paraId="533E1792" w14:textId="77777777" w:rsidR="00F3624A" w:rsidRPr="00D15E96" w:rsidRDefault="00F3624A" w:rsidP="00F3624A">
      <w:pPr>
        <w:rPr>
          <w:rFonts w:ascii="Times New Roman" w:hAnsi="Times New Roman" w:cs="Times New Roman"/>
        </w:rPr>
      </w:pPr>
    </w:p>
    <w:p w14:paraId="1633B025" w14:textId="77777777" w:rsidR="00F3624A" w:rsidRPr="00F3624A" w:rsidRDefault="00F3624A" w:rsidP="006B3D12">
      <w:pPr>
        <w:rPr>
          <w:rFonts w:ascii="Times New Roman" w:hAnsi="Times New Roman" w:cs="Times New Roman"/>
        </w:rPr>
      </w:pPr>
    </w:p>
    <w:sectPr w:rsidR="00F3624A" w:rsidRPr="00F36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71E2"/>
    <w:multiLevelType w:val="multilevel"/>
    <w:tmpl w:val="7E4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4081"/>
    <w:multiLevelType w:val="multilevel"/>
    <w:tmpl w:val="D26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85BF5"/>
    <w:multiLevelType w:val="multilevel"/>
    <w:tmpl w:val="092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4134D"/>
    <w:multiLevelType w:val="multilevel"/>
    <w:tmpl w:val="2A6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265259">
    <w:abstractNumId w:val="3"/>
  </w:num>
  <w:num w:numId="2" w16cid:durableId="871113104">
    <w:abstractNumId w:val="2"/>
  </w:num>
  <w:num w:numId="3" w16cid:durableId="1163163499">
    <w:abstractNumId w:val="1"/>
  </w:num>
  <w:num w:numId="4" w16cid:durableId="37304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12"/>
    <w:rsid w:val="006B3D12"/>
    <w:rsid w:val="007B4D66"/>
    <w:rsid w:val="00D102C6"/>
    <w:rsid w:val="00D15E96"/>
    <w:rsid w:val="00D3368D"/>
    <w:rsid w:val="00D36465"/>
    <w:rsid w:val="00D507E0"/>
    <w:rsid w:val="00EC1684"/>
    <w:rsid w:val="00F362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92442"/>
  <w15:chartTrackingRefBased/>
  <w15:docId w15:val="{0F28A991-C943-47CC-A1AC-6D54F879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D12"/>
    <w:rPr>
      <w:rFonts w:eastAsiaTheme="majorEastAsia" w:cstheme="majorBidi"/>
      <w:color w:val="272727" w:themeColor="text1" w:themeTint="D8"/>
    </w:rPr>
  </w:style>
  <w:style w:type="paragraph" w:styleId="Title">
    <w:name w:val="Title"/>
    <w:basedOn w:val="Normal"/>
    <w:next w:val="Normal"/>
    <w:link w:val="TitleChar"/>
    <w:uiPriority w:val="10"/>
    <w:qFormat/>
    <w:rsid w:val="006B3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D12"/>
    <w:pPr>
      <w:spacing w:before="160"/>
      <w:jc w:val="center"/>
    </w:pPr>
    <w:rPr>
      <w:i/>
      <w:iCs/>
      <w:color w:val="404040" w:themeColor="text1" w:themeTint="BF"/>
    </w:rPr>
  </w:style>
  <w:style w:type="character" w:customStyle="1" w:styleId="QuoteChar">
    <w:name w:val="Quote Char"/>
    <w:basedOn w:val="DefaultParagraphFont"/>
    <w:link w:val="Quote"/>
    <w:uiPriority w:val="29"/>
    <w:rsid w:val="006B3D12"/>
    <w:rPr>
      <w:i/>
      <w:iCs/>
      <w:color w:val="404040" w:themeColor="text1" w:themeTint="BF"/>
    </w:rPr>
  </w:style>
  <w:style w:type="paragraph" w:styleId="ListParagraph">
    <w:name w:val="List Paragraph"/>
    <w:basedOn w:val="Normal"/>
    <w:uiPriority w:val="34"/>
    <w:qFormat/>
    <w:rsid w:val="006B3D12"/>
    <w:pPr>
      <w:ind w:left="720"/>
      <w:contextualSpacing/>
    </w:pPr>
  </w:style>
  <w:style w:type="character" w:styleId="IntenseEmphasis">
    <w:name w:val="Intense Emphasis"/>
    <w:basedOn w:val="DefaultParagraphFont"/>
    <w:uiPriority w:val="21"/>
    <w:qFormat/>
    <w:rsid w:val="006B3D12"/>
    <w:rPr>
      <w:i/>
      <w:iCs/>
      <w:color w:val="0F4761" w:themeColor="accent1" w:themeShade="BF"/>
    </w:rPr>
  </w:style>
  <w:style w:type="paragraph" w:styleId="IntenseQuote">
    <w:name w:val="Intense Quote"/>
    <w:basedOn w:val="Normal"/>
    <w:next w:val="Normal"/>
    <w:link w:val="IntenseQuoteChar"/>
    <w:uiPriority w:val="30"/>
    <w:qFormat/>
    <w:rsid w:val="006B3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D12"/>
    <w:rPr>
      <w:i/>
      <w:iCs/>
      <w:color w:val="0F4761" w:themeColor="accent1" w:themeShade="BF"/>
    </w:rPr>
  </w:style>
  <w:style w:type="character" w:styleId="IntenseReference">
    <w:name w:val="Intense Reference"/>
    <w:basedOn w:val="DefaultParagraphFont"/>
    <w:uiPriority w:val="32"/>
    <w:qFormat/>
    <w:rsid w:val="006B3D12"/>
    <w:rPr>
      <w:b/>
      <w:bCs/>
      <w:smallCaps/>
      <w:color w:val="0F4761" w:themeColor="accent1" w:themeShade="BF"/>
      <w:spacing w:val="5"/>
    </w:rPr>
  </w:style>
  <w:style w:type="paragraph" w:styleId="NormalWeb">
    <w:name w:val="Normal (Web)"/>
    <w:basedOn w:val="Normal"/>
    <w:uiPriority w:val="99"/>
    <w:semiHidden/>
    <w:unhideWhenUsed/>
    <w:rsid w:val="00F362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3624A"/>
  </w:style>
  <w:style w:type="character" w:styleId="Strong">
    <w:name w:val="Strong"/>
    <w:basedOn w:val="DefaultParagraphFont"/>
    <w:uiPriority w:val="22"/>
    <w:qFormat/>
    <w:rsid w:val="00F36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Kesse, Samuel (2023)</dc:creator>
  <cp:keywords/>
  <dc:description/>
  <cp:lastModifiedBy>Kesse, Samuel (2023)</cp:lastModifiedBy>
  <cp:revision>3</cp:revision>
  <dcterms:created xsi:type="dcterms:W3CDTF">2026-01-18T19:07:00Z</dcterms:created>
  <dcterms:modified xsi:type="dcterms:W3CDTF">2026-03-17T02:22:00Z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7a1e2cf6-5444-4339-8566-97d5b920df77</vt:lpwstr>
  </property>
</Properties>
</file>