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B09D" w14:textId="77777777" w:rsidR="00CB1DED" w:rsidRDefault="00CB1DED" w:rsidP="00CB1DED">
      <w:pPr>
        <w:jc w:val="center"/>
        <w:rPr>
          <w:rFonts w:ascii="Times New Roman" w:hAnsi="Times New Roman" w:cs="Times New Roman"/>
          <w:sz w:val="32"/>
          <w:szCs w:val="32"/>
        </w:rPr>
      </w:pPr>
    </w:p>
    <w:p w14:paraId="229D593E" w14:textId="77777777" w:rsidR="00CB1DED" w:rsidRDefault="00CB1DED" w:rsidP="00CB1DED">
      <w:pPr>
        <w:jc w:val="center"/>
        <w:rPr>
          <w:rFonts w:ascii="Times New Roman" w:hAnsi="Times New Roman" w:cs="Times New Roman"/>
          <w:sz w:val="32"/>
          <w:szCs w:val="32"/>
        </w:rPr>
      </w:pPr>
    </w:p>
    <w:p w14:paraId="7A02DEDC" w14:textId="77777777" w:rsidR="00CB1DED" w:rsidRDefault="00CB1DED" w:rsidP="00CB1DED">
      <w:pPr>
        <w:jc w:val="center"/>
        <w:rPr>
          <w:rFonts w:ascii="Times New Roman" w:hAnsi="Times New Roman" w:cs="Times New Roman"/>
          <w:sz w:val="32"/>
          <w:szCs w:val="32"/>
        </w:rPr>
      </w:pPr>
    </w:p>
    <w:p w14:paraId="598FE53C" w14:textId="77777777" w:rsidR="00CB1DED" w:rsidRDefault="00CB1DED" w:rsidP="00CB1DED">
      <w:pPr>
        <w:jc w:val="center"/>
        <w:rPr>
          <w:rFonts w:ascii="Times New Roman" w:hAnsi="Times New Roman" w:cs="Times New Roman"/>
          <w:sz w:val="32"/>
          <w:szCs w:val="32"/>
        </w:rPr>
      </w:pPr>
    </w:p>
    <w:p w14:paraId="00C4EACA" w14:textId="77777777" w:rsidR="00CB1DED" w:rsidRDefault="00CB1DED" w:rsidP="00CB1DED">
      <w:pPr>
        <w:jc w:val="center"/>
        <w:rPr>
          <w:rFonts w:ascii="Times New Roman" w:hAnsi="Times New Roman" w:cs="Times New Roman"/>
          <w:sz w:val="32"/>
          <w:szCs w:val="32"/>
        </w:rPr>
      </w:pPr>
    </w:p>
    <w:p w14:paraId="6BB57E91" w14:textId="77777777" w:rsidR="00CB1DED" w:rsidRDefault="00CB1DED" w:rsidP="00CB1DED">
      <w:pPr>
        <w:jc w:val="center"/>
        <w:rPr>
          <w:rFonts w:ascii="Times New Roman" w:hAnsi="Times New Roman" w:cs="Times New Roman"/>
          <w:sz w:val="32"/>
          <w:szCs w:val="32"/>
        </w:rPr>
      </w:pPr>
    </w:p>
    <w:p w14:paraId="1C7C9F30" w14:textId="7FAF9979" w:rsidR="00CB1DED" w:rsidRDefault="00CB1DED" w:rsidP="00CB1DED">
      <w:pPr>
        <w:jc w:val="center"/>
        <w:rPr>
          <w:rFonts w:ascii="Times New Roman" w:hAnsi="Times New Roman" w:cs="Times New Roman"/>
          <w:sz w:val="32"/>
          <w:szCs w:val="32"/>
        </w:rPr>
      </w:pPr>
      <w:r>
        <w:rPr>
          <w:rFonts w:ascii="Times New Roman" w:hAnsi="Times New Roman" w:cs="Times New Roman"/>
          <w:sz w:val="32"/>
          <w:szCs w:val="32"/>
        </w:rPr>
        <w:t xml:space="preserve">Simulated Portfolio – Rationale &amp; </w:t>
      </w:r>
      <w:r w:rsidR="001075B0">
        <w:rPr>
          <w:rFonts w:ascii="Times New Roman" w:hAnsi="Times New Roman" w:cs="Times New Roman"/>
          <w:sz w:val="32"/>
          <w:szCs w:val="32"/>
        </w:rPr>
        <w:t xml:space="preserve">Weekly </w:t>
      </w:r>
      <w:r>
        <w:rPr>
          <w:rFonts w:ascii="Times New Roman" w:hAnsi="Times New Roman" w:cs="Times New Roman"/>
          <w:sz w:val="32"/>
          <w:szCs w:val="32"/>
        </w:rPr>
        <w:t>Notes</w:t>
      </w:r>
    </w:p>
    <w:p w14:paraId="3D2453A2" w14:textId="77777777" w:rsidR="00CB1DED" w:rsidRDefault="00CB1DED" w:rsidP="00CB1DED">
      <w:pPr>
        <w:pBdr>
          <w:bottom w:val="single" w:sz="12" w:space="1" w:color="auto"/>
        </w:pBdr>
        <w:jc w:val="center"/>
        <w:rPr>
          <w:rFonts w:ascii="Times New Roman" w:hAnsi="Times New Roman" w:cs="Times New Roman"/>
          <w:sz w:val="32"/>
          <w:szCs w:val="32"/>
        </w:rPr>
      </w:pPr>
    </w:p>
    <w:p w14:paraId="2E8B096C" w14:textId="77777777" w:rsidR="00CB1DED" w:rsidRDefault="00CB1DED" w:rsidP="00CB1DED">
      <w:pPr>
        <w:jc w:val="center"/>
        <w:rPr>
          <w:rFonts w:ascii="Times New Roman" w:hAnsi="Times New Roman" w:cs="Times New Roman"/>
          <w:sz w:val="32"/>
          <w:szCs w:val="32"/>
        </w:rPr>
      </w:pPr>
    </w:p>
    <w:p w14:paraId="27FE0BE6" w14:textId="77777777" w:rsidR="00CB1DED" w:rsidRDefault="00CB1DED" w:rsidP="00CB1DED">
      <w:pPr>
        <w:jc w:val="center"/>
        <w:rPr>
          <w:rFonts w:ascii="Times New Roman" w:hAnsi="Times New Roman" w:cs="Times New Roman"/>
          <w:sz w:val="32"/>
          <w:szCs w:val="32"/>
        </w:rPr>
      </w:pPr>
    </w:p>
    <w:p w14:paraId="2AC2A60C" w14:textId="77777777" w:rsidR="00CB1DED" w:rsidRDefault="00CB1DED" w:rsidP="00CB1DED">
      <w:pPr>
        <w:jc w:val="center"/>
        <w:rPr>
          <w:rFonts w:ascii="Times New Roman" w:hAnsi="Times New Roman" w:cs="Times New Roman"/>
          <w:sz w:val="32"/>
          <w:szCs w:val="32"/>
        </w:rPr>
      </w:pPr>
    </w:p>
    <w:p w14:paraId="39E3A2F0" w14:textId="77777777" w:rsidR="00CB1DED" w:rsidRDefault="00CB1DED" w:rsidP="00CB1DED">
      <w:pPr>
        <w:jc w:val="center"/>
        <w:rPr>
          <w:rFonts w:ascii="Times New Roman" w:hAnsi="Times New Roman" w:cs="Times New Roman"/>
          <w:sz w:val="32"/>
          <w:szCs w:val="32"/>
        </w:rPr>
      </w:pPr>
    </w:p>
    <w:p w14:paraId="1A2428BA" w14:textId="77777777" w:rsidR="00CB1DED" w:rsidRDefault="00CB1DED" w:rsidP="00CB1DED">
      <w:pPr>
        <w:jc w:val="center"/>
        <w:rPr>
          <w:rFonts w:ascii="Times New Roman" w:hAnsi="Times New Roman" w:cs="Times New Roman"/>
          <w:sz w:val="32"/>
          <w:szCs w:val="32"/>
        </w:rPr>
      </w:pPr>
    </w:p>
    <w:p w14:paraId="11B40891" w14:textId="77777777" w:rsidR="00CB1DED" w:rsidRDefault="00CB1DED" w:rsidP="00CB1DED">
      <w:pPr>
        <w:jc w:val="center"/>
        <w:rPr>
          <w:rFonts w:ascii="Times New Roman" w:hAnsi="Times New Roman" w:cs="Times New Roman"/>
          <w:sz w:val="32"/>
          <w:szCs w:val="32"/>
        </w:rPr>
      </w:pPr>
    </w:p>
    <w:p w14:paraId="596A7C03" w14:textId="77777777" w:rsidR="00CB1DED" w:rsidRDefault="00CB1DED" w:rsidP="00CB1DED">
      <w:pPr>
        <w:jc w:val="center"/>
        <w:rPr>
          <w:rFonts w:ascii="Times New Roman" w:hAnsi="Times New Roman" w:cs="Times New Roman"/>
          <w:sz w:val="32"/>
          <w:szCs w:val="32"/>
        </w:rPr>
      </w:pPr>
    </w:p>
    <w:p w14:paraId="42BE82BB" w14:textId="77777777" w:rsidR="00CB1DED" w:rsidRDefault="00CB1DED" w:rsidP="00CB1DED">
      <w:pPr>
        <w:jc w:val="center"/>
        <w:rPr>
          <w:rFonts w:ascii="Times New Roman" w:hAnsi="Times New Roman" w:cs="Times New Roman"/>
          <w:sz w:val="32"/>
          <w:szCs w:val="32"/>
        </w:rPr>
      </w:pPr>
    </w:p>
    <w:p w14:paraId="156695B5" w14:textId="77777777" w:rsidR="00CB1DED" w:rsidRDefault="00CB1DED" w:rsidP="00CB1DED">
      <w:pPr>
        <w:jc w:val="center"/>
        <w:rPr>
          <w:rFonts w:ascii="Times New Roman" w:hAnsi="Times New Roman" w:cs="Times New Roman"/>
          <w:sz w:val="32"/>
          <w:szCs w:val="32"/>
        </w:rPr>
      </w:pPr>
    </w:p>
    <w:p w14:paraId="19ACE79B" w14:textId="77777777" w:rsidR="00CB1DED" w:rsidRDefault="00CB1DED" w:rsidP="00CB1DED">
      <w:pPr>
        <w:jc w:val="center"/>
        <w:rPr>
          <w:rFonts w:ascii="Times New Roman" w:hAnsi="Times New Roman" w:cs="Times New Roman"/>
          <w:sz w:val="32"/>
          <w:szCs w:val="32"/>
        </w:rPr>
      </w:pPr>
    </w:p>
    <w:p w14:paraId="597CA0E4" w14:textId="77777777" w:rsidR="00B10AF3" w:rsidRDefault="00B10AF3" w:rsidP="00CB1DED">
      <w:pPr>
        <w:jc w:val="center"/>
        <w:rPr>
          <w:rFonts w:ascii="Times New Roman" w:hAnsi="Times New Roman" w:cs="Times New Roman"/>
          <w:sz w:val="32"/>
          <w:szCs w:val="32"/>
        </w:rPr>
      </w:pPr>
    </w:p>
    <w:p w14:paraId="73C0F38D" w14:textId="77777777" w:rsidR="00CB1DED" w:rsidRDefault="00CB1DED" w:rsidP="00CB1DED">
      <w:pPr>
        <w:jc w:val="center"/>
        <w:rPr>
          <w:rFonts w:ascii="Times New Roman" w:hAnsi="Times New Roman" w:cs="Times New Roman"/>
          <w:sz w:val="32"/>
          <w:szCs w:val="32"/>
        </w:rPr>
      </w:pPr>
    </w:p>
    <w:p w14:paraId="2A602E92" w14:textId="77777777" w:rsidR="00CB1DED" w:rsidRDefault="00CB1DED" w:rsidP="00CB1DED">
      <w:pPr>
        <w:jc w:val="center"/>
        <w:rPr>
          <w:rFonts w:ascii="Times New Roman" w:hAnsi="Times New Roman" w:cs="Times New Roman"/>
          <w:sz w:val="32"/>
          <w:szCs w:val="32"/>
        </w:rPr>
      </w:pPr>
    </w:p>
    <w:p w14:paraId="3527B8D6" w14:textId="77777777" w:rsidR="00CB1DED" w:rsidRDefault="00CB1DED" w:rsidP="00CB1DED">
      <w:pPr>
        <w:jc w:val="center"/>
        <w:rPr>
          <w:rFonts w:ascii="Times New Roman" w:hAnsi="Times New Roman" w:cs="Times New Roman"/>
          <w:sz w:val="32"/>
          <w:szCs w:val="32"/>
        </w:rPr>
      </w:pPr>
    </w:p>
    <w:p w14:paraId="7CE516B8" w14:textId="77777777" w:rsidR="00CB1DED" w:rsidRDefault="00CB1DED" w:rsidP="00CB1DED">
      <w:pPr>
        <w:jc w:val="center"/>
        <w:rPr>
          <w:rFonts w:ascii="Times New Roman" w:hAnsi="Times New Roman" w:cs="Times New Roman"/>
          <w:sz w:val="32"/>
          <w:szCs w:val="32"/>
        </w:rPr>
      </w:pPr>
    </w:p>
    <w:p w14:paraId="19612F0B" w14:textId="77777777" w:rsidR="00CB1DED" w:rsidRDefault="00CB1DED" w:rsidP="00CB1DED">
      <w:pPr>
        <w:jc w:val="center"/>
        <w:rPr>
          <w:rFonts w:ascii="Times New Roman" w:hAnsi="Times New Roman" w:cs="Times New Roman"/>
          <w:sz w:val="32"/>
          <w:szCs w:val="32"/>
        </w:rPr>
      </w:pPr>
    </w:p>
    <w:p w14:paraId="000B31BA" w14:textId="77777777" w:rsidR="00CB1DED" w:rsidRDefault="00CB1DED" w:rsidP="00CB1DED">
      <w:pPr>
        <w:pBdr>
          <w:bottom w:val="single" w:sz="12" w:space="1" w:color="auto"/>
        </w:pBdr>
        <w:jc w:val="center"/>
        <w:rPr>
          <w:rFonts w:ascii="Times New Roman" w:hAnsi="Times New Roman" w:cs="Times New Roman"/>
          <w:sz w:val="32"/>
          <w:szCs w:val="32"/>
        </w:rPr>
      </w:pPr>
    </w:p>
    <w:p w14:paraId="6C84F93C" w14:textId="752EC108" w:rsidR="00B10AF3" w:rsidRDefault="00B10AF3" w:rsidP="00B10AF3">
      <w:pPr>
        <w:rPr>
          <w:rFonts w:ascii="Times New Roman" w:hAnsi="Times New Roman" w:cs="Times New Roman"/>
          <w:b/>
          <w:bCs/>
          <w:sz w:val="28"/>
          <w:szCs w:val="28"/>
        </w:rPr>
      </w:pPr>
      <w:r w:rsidRPr="00B10AF3">
        <w:rPr>
          <w:rFonts w:ascii="Times New Roman" w:hAnsi="Times New Roman" w:cs="Times New Roman"/>
          <w:b/>
          <w:bCs/>
          <w:sz w:val="28"/>
          <w:szCs w:val="28"/>
        </w:rPr>
        <w:t>1.</w:t>
      </w:r>
      <w:r>
        <w:rPr>
          <w:rFonts w:ascii="Times New Roman" w:hAnsi="Times New Roman" w:cs="Times New Roman"/>
          <w:b/>
          <w:bCs/>
          <w:sz w:val="28"/>
          <w:szCs w:val="28"/>
        </w:rPr>
        <w:t xml:space="preserve"> </w:t>
      </w:r>
      <w:r w:rsidRPr="00B10AF3">
        <w:rPr>
          <w:rFonts w:ascii="Times New Roman" w:hAnsi="Times New Roman" w:cs="Times New Roman"/>
          <w:b/>
          <w:bCs/>
          <w:sz w:val="28"/>
          <w:szCs w:val="28"/>
        </w:rPr>
        <w:t>A</w:t>
      </w:r>
      <w:r>
        <w:rPr>
          <w:rFonts w:ascii="Times New Roman" w:hAnsi="Times New Roman" w:cs="Times New Roman"/>
          <w:b/>
          <w:bCs/>
          <w:sz w:val="28"/>
          <w:szCs w:val="28"/>
        </w:rPr>
        <w:t>pple (AAPL) – Stock</w:t>
      </w:r>
    </w:p>
    <w:p w14:paraId="6EA35845" w14:textId="22FDE733" w:rsidR="00B10AF3" w:rsidRDefault="00B10AF3" w:rsidP="00B10AF3">
      <w:pPr>
        <w:rPr>
          <w:rFonts w:ascii="Times New Roman" w:hAnsi="Times New Roman" w:cs="Times New Roman"/>
        </w:rPr>
      </w:pPr>
      <w:proofErr w:type="gramStart"/>
      <w:r>
        <w:rPr>
          <w:rFonts w:ascii="Times New Roman" w:hAnsi="Times New Roman" w:cs="Times New Roman"/>
        </w:rPr>
        <w:t>I’ve</w:t>
      </w:r>
      <w:proofErr w:type="gramEnd"/>
      <w:r>
        <w:rPr>
          <w:rFonts w:ascii="Times New Roman" w:hAnsi="Times New Roman" w:cs="Times New Roman"/>
        </w:rPr>
        <w:t xml:space="preserve"> included Apple due to its consistently strong revenue growth </w:t>
      </w:r>
      <w:proofErr w:type="gramStart"/>
      <w:r>
        <w:rPr>
          <w:rFonts w:ascii="Times New Roman" w:hAnsi="Times New Roman" w:cs="Times New Roman"/>
        </w:rPr>
        <w:t>and also</w:t>
      </w:r>
      <w:proofErr w:type="gramEnd"/>
      <w:r>
        <w:rPr>
          <w:rFonts w:ascii="Times New Roman" w:hAnsi="Times New Roman" w:cs="Times New Roman"/>
        </w:rPr>
        <w:t xml:space="preserve"> its dominant hold in the technology sector. The main risk in this stock in the current climate is the slowing of iPhone sales or potential supply chain disruptions. Due to how diversified the product ecosystem is, medium-term growth </w:t>
      </w:r>
      <w:proofErr w:type="gramStart"/>
      <w:r>
        <w:rPr>
          <w:rFonts w:ascii="Times New Roman" w:hAnsi="Times New Roman" w:cs="Times New Roman"/>
        </w:rPr>
        <w:t>is supported</w:t>
      </w:r>
      <w:proofErr w:type="gramEnd"/>
      <w:r>
        <w:rPr>
          <w:rFonts w:ascii="Times New Roman" w:hAnsi="Times New Roman" w:cs="Times New Roman"/>
        </w:rPr>
        <w:t xml:space="preserve">. The time horizon is 12 months, with a strong focus on earnings announcements as catalysts. </w:t>
      </w:r>
      <w:r w:rsidR="00B94419">
        <w:rPr>
          <w:rFonts w:ascii="Times New Roman" w:hAnsi="Times New Roman" w:cs="Times New Roman"/>
        </w:rPr>
        <w:t>With this position I will have a high-quality stock while maintaining liquidity. If regulatory pressures or significant market correction occur, I would reconsider exposure.</w:t>
      </w:r>
    </w:p>
    <w:p w14:paraId="7547C992" w14:textId="77777777" w:rsidR="008333E4" w:rsidRDefault="008333E4" w:rsidP="00B10AF3">
      <w:pPr>
        <w:rPr>
          <w:rFonts w:ascii="Times New Roman" w:hAnsi="Times New Roman" w:cs="Times New Roman"/>
        </w:rPr>
      </w:pPr>
    </w:p>
    <w:p w14:paraId="3E465970" w14:textId="77777777" w:rsidR="00B94419" w:rsidRDefault="00B94419" w:rsidP="00B10AF3">
      <w:pPr>
        <w:pBdr>
          <w:bottom w:val="single" w:sz="12" w:space="1" w:color="auto"/>
        </w:pBdr>
        <w:rPr>
          <w:rFonts w:ascii="Times New Roman" w:hAnsi="Times New Roman" w:cs="Times New Roman"/>
        </w:rPr>
      </w:pPr>
    </w:p>
    <w:p w14:paraId="277D894D" w14:textId="77777777" w:rsidR="008333E4" w:rsidRDefault="008333E4" w:rsidP="00B10AF3">
      <w:pPr>
        <w:rPr>
          <w:rFonts w:ascii="Times New Roman" w:hAnsi="Times New Roman" w:cs="Times New Roman"/>
        </w:rPr>
      </w:pPr>
    </w:p>
    <w:p w14:paraId="1729AFF3" w14:textId="6C929A03" w:rsidR="00B94419" w:rsidRDefault="00B94419" w:rsidP="00B10AF3">
      <w:pPr>
        <w:rPr>
          <w:rFonts w:ascii="Times New Roman" w:hAnsi="Times New Roman" w:cs="Times New Roman"/>
          <w:b/>
          <w:bCs/>
          <w:sz w:val="28"/>
          <w:szCs w:val="28"/>
        </w:rPr>
      </w:pPr>
      <w:r>
        <w:rPr>
          <w:rFonts w:ascii="Times New Roman" w:hAnsi="Times New Roman" w:cs="Times New Roman"/>
          <w:b/>
          <w:bCs/>
          <w:sz w:val="28"/>
          <w:szCs w:val="28"/>
        </w:rPr>
        <w:t>2. BP (BP.L) – Stock</w:t>
      </w:r>
    </w:p>
    <w:p w14:paraId="1BB58D48" w14:textId="37CC2261" w:rsidR="00B94419" w:rsidRDefault="00666426" w:rsidP="00B10AF3">
      <w:pPr>
        <w:rPr>
          <w:rFonts w:ascii="Times New Roman" w:hAnsi="Times New Roman" w:cs="Times New Roman"/>
        </w:rPr>
      </w:pPr>
      <w:r>
        <w:rPr>
          <w:rFonts w:ascii="Times New Roman" w:hAnsi="Times New Roman" w:cs="Times New Roman"/>
        </w:rPr>
        <w:t xml:space="preserve">BP gives an exposure to the energy sector, one with a focus on dividends and cyclical recovery. </w:t>
      </w:r>
      <w:proofErr w:type="gramStart"/>
      <w:r>
        <w:rPr>
          <w:rFonts w:ascii="Times New Roman" w:hAnsi="Times New Roman" w:cs="Times New Roman"/>
        </w:rPr>
        <w:t>I’d</w:t>
      </w:r>
      <w:proofErr w:type="gramEnd"/>
      <w:r>
        <w:rPr>
          <w:rFonts w:ascii="Times New Roman" w:hAnsi="Times New Roman" w:cs="Times New Roman"/>
        </w:rPr>
        <w:t xml:space="preserve"> say the main risk associated with this stock is the volatile nature of oil prices along with regulatory changes in environmental policy. It is currently trading below its pre-pandemic levels which can be an indicator of its potential value. The time horizon is 12-18 months, and the key catalysts will be oil price movements and quarterly results. I believe this stock, being a defensive energy position, will offer </w:t>
      </w:r>
      <w:proofErr w:type="gramStart"/>
      <w:r>
        <w:rPr>
          <w:rFonts w:ascii="Times New Roman" w:hAnsi="Times New Roman" w:cs="Times New Roman"/>
        </w:rPr>
        <w:t>some</w:t>
      </w:r>
      <w:proofErr w:type="gramEnd"/>
      <w:r>
        <w:rPr>
          <w:rFonts w:ascii="Times New Roman" w:hAnsi="Times New Roman" w:cs="Times New Roman"/>
        </w:rPr>
        <w:t xml:space="preserve"> balance to my </w:t>
      </w:r>
      <w:proofErr w:type="gramStart"/>
      <w:r>
        <w:rPr>
          <w:rFonts w:ascii="Times New Roman" w:hAnsi="Times New Roman" w:cs="Times New Roman"/>
        </w:rPr>
        <w:t>mainly tech-based</w:t>
      </w:r>
      <w:proofErr w:type="gramEnd"/>
      <w:r>
        <w:rPr>
          <w:rFonts w:ascii="Times New Roman" w:hAnsi="Times New Roman" w:cs="Times New Roman"/>
        </w:rPr>
        <w:t xml:space="preserve"> allocation – however significant drops in oil would challenge this thesis. </w:t>
      </w:r>
    </w:p>
    <w:p w14:paraId="6AD7B363" w14:textId="77777777" w:rsidR="008333E4" w:rsidRDefault="008333E4" w:rsidP="00B10AF3">
      <w:pPr>
        <w:rPr>
          <w:rFonts w:ascii="Times New Roman" w:hAnsi="Times New Roman" w:cs="Times New Roman"/>
        </w:rPr>
      </w:pPr>
    </w:p>
    <w:p w14:paraId="30E97EB0" w14:textId="77777777" w:rsidR="008333E4" w:rsidRDefault="008333E4" w:rsidP="00B10AF3">
      <w:pPr>
        <w:pBdr>
          <w:bottom w:val="single" w:sz="12" w:space="1" w:color="auto"/>
        </w:pBdr>
        <w:rPr>
          <w:rFonts w:ascii="Times New Roman" w:hAnsi="Times New Roman" w:cs="Times New Roman"/>
        </w:rPr>
      </w:pPr>
    </w:p>
    <w:p w14:paraId="7FBC5088" w14:textId="77777777" w:rsidR="008333E4" w:rsidRDefault="008333E4" w:rsidP="00B10AF3">
      <w:pPr>
        <w:rPr>
          <w:rFonts w:ascii="Times New Roman" w:hAnsi="Times New Roman" w:cs="Times New Roman"/>
        </w:rPr>
      </w:pPr>
    </w:p>
    <w:p w14:paraId="6433FA6F" w14:textId="77777777" w:rsidR="00666426" w:rsidRDefault="00666426" w:rsidP="00B10AF3">
      <w:pPr>
        <w:rPr>
          <w:rFonts w:ascii="Times New Roman" w:hAnsi="Times New Roman" w:cs="Times New Roman"/>
        </w:rPr>
      </w:pPr>
    </w:p>
    <w:p w14:paraId="749A08F0" w14:textId="5EA700BC" w:rsidR="00666426" w:rsidRDefault="00666426" w:rsidP="00B10AF3">
      <w:pPr>
        <w:rPr>
          <w:rFonts w:ascii="Times New Roman" w:hAnsi="Times New Roman" w:cs="Times New Roman"/>
          <w:b/>
          <w:bCs/>
          <w:sz w:val="28"/>
          <w:szCs w:val="28"/>
        </w:rPr>
      </w:pPr>
      <w:r>
        <w:rPr>
          <w:rFonts w:ascii="Times New Roman" w:hAnsi="Times New Roman" w:cs="Times New Roman"/>
          <w:b/>
          <w:bCs/>
          <w:sz w:val="28"/>
          <w:szCs w:val="28"/>
        </w:rPr>
        <w:t>3. JPMorgan (JPM) – Stock</w:t>
      </w:r>
    </w:p>
    <w:p w14:paraId="2FC96063" w14:textId="25BFC51E" w:rsidR="00666426" w:rsidRDefault="00666426" w:rsidP="00B10AF3">
      <w:pPr>
        <w:rPr>
          <w:rFonts w:ascii="Times New Roman" w:hAnsi="Times New Roman" w:cs="Times New Roman"/>
        </w:rPr>
      </w:pPr>
      <w:r>
        <w:rPr>
          <w:rFonts w:ascii="Times New Roman" w:hAnsi="Times New Roman" w:cs="Times New Roman"/>
        </w:rPr>
        <w:t xml:space="preserve">JPMorgan represents an exposure to the financial sector with benefits from rising interest rates. The main risk associated with this stock is exposure to loan defaults or instability in the financial market. This bank, however, does have a continued history of strong management of their capital </w:t>
      </w:r>
      <w:proofErr w:type="gramStart"/>
      <w:r>
        <w:rPr>
          <w:rFonts w:ascii="Times New Roman" w:hAnsi="Times New Roman" w:cs="Times New Roman"/>
        </w:rPr>
        <w:t>and also</w:t>
      </w:r>
      <w:proofErr w:type="gramEnd"/>
      <w:r>
        <w:rPr>
          <w:rFonts w:ascii="Times New Roman" w:hAnsi="Times New Roman" w:cs="Times New Roman"/>
        </w:rPr>
        <w:t xml:space="preserve"> dividend reliability. The time horizon will be 12 months, tracking interest rate decisions and quarterly earnings.</w:t>
      </w:r>
      <w:r w:rsidR="00710B7D">
        <w:rPr>
          <w:rFonts w:ascii="Times New Roman" w:hAnsi="Times New Roman" w:cs="Times New Roman"/>
        </w:rPr>
        <w:t xml:space="preserve"> This holding will add </w:t>
      </w:r>
      <w:proofErr w:type="gramStart"/>
      <w:r w:rsidR="00710B7D">
        <w:rPr>
          <w:rFonts w:ascii="Times New Roman" w:hAnsi="Times New Roman" w:cs="Times New Roman"/>
        </w:rPr>
        <w:t>some</w:t>
      </w:r>
      <w:proofErr w:type="gramEnd"/>
      <w:r w:rsidR="00710B7D">
        <w:rPr>
          <w:rFonts w:ascii="Times New Roman" w:hAnsi="Times New Roman" w:cs="Times New Roman"/>
        </w:rPr>
        <w:t xml:space="preserve"> cyclical diversification to my portfolio. If there are any unexpected systemic shocks in the banking sector, a review will </w:t>
      </w:r>
      <w:proofErr w:type="gramStart"/>
      <w:r w:rsidR="00710B7D">
        <w:rPr>
          <w:rFonts w:ascii="Times New Roman" w:hAnsi="Times New Roman" w:cs="Times New Roman"/>
        </w:rPr>
        <w:t>be required</w:t>
      </w:r>
      <w:proofErr w:type="gramEnd"/>
      <w:r w:rsidR="00710B7D">
        <w:rPr>
          <w:rFonts w:ascii="Times New Roman" w:hAnsi="Times New Roman" w:cs="Times New Roman"/>
        </w:rPr>
        <w:t>.</w:t>
      </w:r>
    </w:p>
    <w:p w14:paraId="42474D4C" w14:textId="77777777" w:rsidR="008333E4" w:rsidRDefault="008333E4" w:rsidP="00B10AF3">
      <w:pPr>
        <w:rPr>
          <w:rFonts w:ascii="Times New Roman" w:hAnsi="Times New Roman" w:cs="Times New Roman"/>
        </w:rPr>
      </w:pPr>
    </w:p>
    <w:p w14:paraId="4365A42A" w14:textId="77777777" w:rsidR="008333E4" w:rsidRDefault="008333E4" w:rsidP="00B10AF3">
      <w:pPr>
        <w:pBdr>
          <w:bottom w:val="single" w:sz="12" w:space="1" w:color="auto"/>
        </w:pBdr>
        <w:rPr>
          <w:rFonts w:ascii="Times New Roman" w:hAnsi="Times New Roman" w:cs="Times New Roman"/>
        </w:rPr>
      </w:pPr>
    </w:p>
    <w:p w14:paraId="290A4D33" w14:textId="77777777" w:rsidR="008333E4" w:rsidRDefault="008333E4" w:rsidP="00B10AF3">
      <w:pPr>
        <w:rPr>
          <w:rFonts w:ascii="Times New Roman" w:hAnsi="Times New Roman" w:cs="Times New Roman"/>
        </w:rPr>
      </w:pPr>
    </w:p>
    <w:p w14:paraId="682E4AF2" w14:textId="1E6DBFBF" w:rsidR="00710B7D" w:rsidRDefault="00710B7D" w:rsidP="00B10AF3">
      <w:pPr>
        <w:rPr>
          <w:rFonts w:ascii="Times New Roman" w:hAnsi="Times New Roman" w:cs="Times New Roman"/>
          <w:b/>
          <w:bCs/>
          <w:sz w:val="28"/>
          <w:szCs w:val="28"/>
        </w:rPr>
      </w:pPr>
      <w:r>
        <w:rPr>
          <w:rFonts w:ascii="Times New Roman" w:hAnsi="Times New Roman" w:cs="Times New Roman"/>
          <w:b/>
          <w:bCs/>
          <w:sz w:val="28"/>
          <w:szCs w:val="28"/>
        </w:rPr>
        <w:t>4. Unilever (ULVR.L) – Stock</w:t>
      </w:r>
    </w:p>
    <w:p w14:paraId="72F20B94" w14:textId="4AB327DF" w:rsidR="00710B7D" w:rsidRDefault="00710B7D" w:rsidP="00B10AF3">
      <w:pPr>
        <w:rPr>
          <w:rFonts w:ascii="Times New Roman" w:hAnsi="Times New Roman" w:cs="Times New Roman"/>
        </w:rPr>
      </w:pPr>
      <w:r>
        <w:rPr>
          <w:rFonts w:ascii="Times New Roman" w:hAnsi="Times New Roman" w:cs="Times New Roman"/>
        </w:rPr>
        <w:t>This is a defensive consumer staples pick, one that yields stable returns in uncertain markets. However, the main risk pertaining to this stock is currency fluctuations and any cost inflation of raw materials. They have a diverse product base and, consequently, steady revenue streams</w:t>
      </w:r>
      <w:proofErr w:type="gramStart"/>
      <w:r>
        <w:rPr>
          <w:rFonts w:ascii="Times New Roman" w:hAnsi="Times New Roman" w:cs="Times New Roman"/>
        </w:rPr>
        <w:t xml:space="preserve">.  </w:t>
      </w:r>
      <w:proofErr w:type="gramEnd"/>
      <w:r>
        <w:rPr>
          <w:rFonts w:ascii="Times New Roman" w:hAnsi="Times New Roman" w:cs="Times New Roman"/>
        </w:rPr>
        <w:t xml:space="preserve">The time horizon for this will be 12 months, with annual earnings and cost management as primary catalysts. This stock reduces the volatility of my portfolio overall. Reassessment will </w:t>
      </w:r>
      <w:proofErr w:type="gramStart"/>
      <w:r>
        <w:rPr>
          <w:rFonts w:ascii="Times New Roman" w:hAnsi="Times New Roman" w:cs="Times New Roman"/>
        </w:rPr>
        <w:t>be done</w:t>
      </w:r>
      <w:proofErr w:type="gramEnd"/>
      <w:r>
        <w:rPr>
          <w:rFonts w:ascii="Times New Roman" w:hAnsi="Times New Roman" w:cs="Times New Roman"/>
        </w:rPr>
        <w:t xml:space="preserve"> in the case of significant operational missteps or market share losses.</w:t>
      </w:r>
    </w:p>
    <w:p w14:paraId="614A44A8" w14:textId="77777777" w:rsidR="008333E4" w:rsidRDefault="008333E4" w:rsidP="00B10AF3">
      <w:pPr>
        <w:rPr>
          <w:rFonts w:ascii="Times New Roman" w:hAnsi="Times New Roman" w:cs="Times New Roman"/>
        </w:rPr>
      </w:pPr>
    </w:p>
    <w:p w14:paraId="2B05A003" w14:textId="77777777" w:rsidR="008333E4" w:rsidRDefault="008333E4" w:rsidP="00B10AF3">
      <w:pPr>
        <w:pBdr>
          <w:bottom w:val="single" w:sz="12" w:space="1" w:color="auto"/>
        </w:pBdr>
        <w:rPr>
          <w:rFonts w:ascii="Times New Roman" w:hAnsi="Times New Roman" w:cs="Times New Roman"/>
        </w:rPr>
      </w:pPr>
    </w:p>
    <w:p w14:paraId="3AB42A74" w14:textId="77777777" w:rsidR="008333E4" w:rsidRDefault="008333E4" w:rsidP="00B10AF3">
      <w:pPr>
        <w:rPr>
          <w:rFonts w:ascii="Times New Roman" w:hAnsi="Times New Roman" w:cs="Times New Roman"/>
        </w:rPr>
      </w:pPr>
    </w:p>
    <w:p w14:paraId="5F0CB2E6" w14:textId="11BAA750" w:rsidR="00710B7D" w:rsidRDefault="00710B7D" w:rsidP="00B10AF3">
      <w:pPr>
        <w:rPr>
          <w:rFonts w:ascii="Times New Roman" w:hAnsi="Times New Roman" w:cs="Times New Roman"/>
          <w:b/>
          <w:bCs/>
          <w:sz w:val="28"/>
          <w:szCs w:val="28"/>
        </w:rPr>
      </w:pPr>
      <w:r>
        <w:rPr>
          <w:rFonts w:ascii="Times New Roman" w:hAnsi="Times New Roman" w:cs="Times New Roman"/>
          <w:b/>
          <w:bCs/>
          <w:sz w:val="28"/>
          <w:szCs w:val="28"/>
        </w:rPr>
        <w:t xml:space="preserve">5. iShares Core S&amp;P 500 </w:t>
      </w:r>
      <w:r w:rsidR="00F92524">
        <w:rPr>
          <w:rFonts w:ascii="Times New Roman" w:hAnsi="Times New Roman" w:cs="Times New Roman"/>
          <w:b/>
          <w:bCs/>
          <w:sz w:val="28"/>
          <w:szCs w:val="28"/>
        </w:rPr>
        <w:t>ETF (CSP1) – ETF</w:t>
      </w:r>
    </w:p>
    <w:p w14:paraId="08580CE9" w14:textId="191269DF" w:rsidR="00F92524" w:rsidRDefault="00F92524" w:rsidP="00B10AF3">
      <w:pPr>
        <w:rPr>
          <w:rFonts w:ascii="Times New Roman" w:hAnsi="Times New Roman" w:cs="Times New Roman"/>
        </w:rPr>
      </w:pPr>
      <w:r>
        <w:rPr>
          <w:rFonts w:ascii="Times New Roman" w:hAnsi="Times New Roman" w:cs="Times New Roman"/>
        </w:rPr>
        <w:t xml:space="preserve">The ETF will provide </w:t>
      </w:r>
      <w:proofErr w:type="gramStart"/>
      <w:r>
        <w:rPr>
          <w:rFonts w:ascii="Times New Roman" w:hAnsi="Times New Roman" w:cs="Times New Roman"/>
        </w:rPr>
        <w:t>some</w:t>
      </w:r>
      <w:proofErr w:type="gramEnd"/>
      <w:r>
        <w:rPr>
          <w:rFonts w:ascii="Times New Roman" w:hAnsi="Times New Roman" w:cs="Times New Roman"/>
        </w:rPr>
        <w:t xml:space="preserve"> exposure to the US market, which will improve the diversification of the portfolio as well as reducing company-specific risk. The main risk associated with this is general volatility of the market. This holding will allow me to participate in long-term growth trends across sectors. The time horizon is 12 months, with macroeconomic developments such as rate changes or inflation data as catalysts.</w:t>
      </w:r>
      <w:r w:rsidR="00E95621">
        <w:rPr>
          <w:rFonts w:ascii="Times New Roman" w:hAnsi="Times New Roman" w:cs="Times New Roman"/>
        </w:rPr>
        <w:t xml:space="preserve"> It will serve as a stabilizing anchor in the portfolio. A sharp market correction will </w:t>
      </w:r>
      <w:proofErr w:type="gramStart"/>
      <w:r w:rsidR="00E95621">
        <w:rPr>
          <w:rFonts w:ascii="Times New Roman" w:hAnsi="Times New Roman" w:cs="Times New Roman"/>
        </w:rPr>
        <w:t>be monitored</w:t>
      </w:r>
      <w:proofErr w:type="gramEnd"/>
      <w:r w:rsidR="00E95621">
        <w:rPr>
          <w:rFonts w:ascii="Times New Roman" w:hAnsi="Times New Roman" w:cs="Times New Roman"/>
        </w:rPr>
        <w:t xml:space="preserve"> for rebalancing. </w:t>
      </w:r>
    </w:p>
    <w:p w14:paraId="13FAC56E" w14:textId="77777777" w:rsidR="008333E4" w:rsidRDefault="008333E4" w:rsidP="00B10AF3">
      <w:pPr>
        <w:rPr>
          <w:rFonts w:ascii="Times New Roman" w:hAnsi="Times New Roman" w:cs="Times New Roman"/>
        </w:rPr>
      </w:pPr>
    </w:p>
    <w:p w14:paraId="1C2EEA83" w14:textId="77777777" w:rsidR="008333E4" w:rsidRDefault="008333E4" w:rsidP="00B10AF3">
      <w:pPr>
        <w:pBdr>
          <w:bottom w:val="single" w:sz="12" w:space="1" w:color="auto"/>
        </w:pBdr>
        <w:rPr>
          <w:rFonts w:ascii="Times New Roman" w:hAnsi="Times New Roman" w:cs="Times New Roman"/>
        </w:rPr>
      </w:pPr>
    </w:p>
    <w:p w14:paraId="7EFC0420" w14:textId="77777777" w:rsidR="008333E4" w:rsidRDefault="008333E4" w:rsidP="00B10AF3">
      <w:pPr>
        <w:rPr>
          <w:rFonts w:ascii="Times New Roman" w:hAnsi="Times New Roman" w:cs="Times New Roman"/>
        </w:rPr>
      </w:pPr>
    </w:p>
    <w:p w14:paraId="7316EF84" w14:textId="77777777" w:rsidR="00E95621" w:rsidRDefault="00E95621" w:rsidP="00B10AF3">
      <w:pPr>
        <w:rPr>
          <w:rFonts w:ascii="Times New Roman" w:hAnsi="Times New Roman" w:cs="Times New Roman"/>
        </w:rPr>
      </w:pPr>
    </w:p>
    <w:p w14:paraId="6F9BE539" w14:textId="55B014AF" w:rsidR="00E95621" w:rsidRDefault="00E95621" w:rsidP="00B10AF3">
      <w:pPr>
        <w:rPr>
          <w:rFonts w:ascii="Times New Roman" w:hAnsi="Times New Roman" w:cs="Times New Roman"/>
          <w:b/>
          <w:bCs/>
          <w:sz w:val="28"/>
          <w:szCs w:val="28"/>
        </w:rPr>
      </w:pPr>
      <w:r>
        <w:rPr>
          <w:rFonts w:ascii="Times New Roman" w:hAnsi="Times New Roman" w:cs="Times New Roman"/>
          <w:b/>
          <w:bCs/>
          <w:sz w:val="28"/>
          <w:szCs w:val="28"/>
        </w:rPr>
        <w:t>6. Vanguard Global Bond Index Fund (VGOV) – Bond</w:t>
      </w:r>
    </w:p>
    <w:p w14:paraId="067B1554" w14:textId="51FE8F97" w:rsidR="00E95621" w:rsidRDefault="00E95621" w:rsidP="00B10AF3">
      <w:pPr>
        <w:rPr>
          <w:rFonts w:ascii="Times New Roman" w:hAnsi="Times New Roman" w:cs="Times New Roman"/>
        </w:rPr>
      </w:pPr>
      <w:r>
        <w:rPr>
          <w:rFonts w:ascii="Times New Roman" w:hAnsi="Times New Roman" w:cs="Times New Roman"/>
        </w:rPr>
        <w:t xml:space="preserve">This bond fund will offer </w:t>
      </w:r>
      <w:proofErr w:type="gramStart"/>
      <w:r>
        <w:rPr>
          <w:rFonts w:ascii="Times New Roman" w:hAnsi="Times New Roman" w:cs="Times New Roman"/>
        </w:rPr>
        <w:t>some</w:t>
      </w:r>
      <w:proofErr w:type="gramEnd"/>
      <w:r>
        <w:rPr>
          <w:rFonts w:ascii="Times New Roman" w:hAnsi="Times New Roman" w:cs="Times New Roman"/>
        </w:rPr>
        <w:t xml:space="preserve"> fixed-income exposure and lower the overall volatility of the portfolio. The main risk I believe will be interest rates rising which would reduce bond values. It will infuse </w:t>
      </w:r>
      <w:proofErr w:type="gramStart"/>
      <w:r>
        <w:rPr>
          <w:rFonts w:ascii="Times New Roman" w:hAnsi="Times New Roman" w:cs="Times New Roman"/>
        </w:rPr>
        <w:t>some</w:t>
      </w:r>
      <w:proofErr w:type="gramEnd"/>
      <w:r>
        <w:rPr>
          <w:rFonts w:ascii="Times New Roman" w:hAnsi="Times New Roman" w:cs="Times New Roman"/>
        </w:rPr>
        <w:t xml:space="preserve"> defensive stability and predictable income to the portfolio. Time horizon is 12 </w:t>
      </w:r>
      <w:r w:rsidR="008D49C9">
        <w:rPr>
          <w:rFonts w:ascii="Times New Roman" w:hAnsi="Times New Roman" w:cs="Times New Roman"/>
        </w:rPr>
        <w:t>months,</w:t>
      </w:r>
      <w:r>
        <w:rPr>
          <w:rFonts w:ascii="Times New Roman" w:hAnsi="Times New Roman" w:cs="Times New Roman"/>
        </w:rPr>
        <w:t xml:space="preserve"> and the primary driver will be tracking rate decisions. This holding will balance equities and offer a hedge against market shocks. Unanticipated monetary policy shifts could impact returns. </w:t>
      </w:r>
    </w:p>
    <w:p w14:paraId="542B133E" w14:textId="77777777" w:rsidR="008333E4" w:rsidRDefault="008333E4" w:rsidP="00B10AF3">
      <w:pPr>
        <w:rPr>
          <w:rFonts w:ascii="Times New Roman" w:hAnsi="Times New Roman" w:cs="Times New Roman"/>
        </w:rPr>
      </w:pPr>
    </w:p>
    <w:p w14:paraId="35D1846E" w14:textId="77777777" w:rsidR="001075B0" w:rsidRDefault="001075B0" w:rsidP="00B10AF3">
      <w:pPr>
        <w:rPr>
          <w:rFonts w:ascii="Times New Roman" w:hAnsi="Times New Roman" w:cs="Times New Roman"/>
        </w:rPr>
      </w:pPr>
    </w:p>
    <w:p w14:paraId="5278C552" w14:textId="77777777" w:rsidR="001075B0" w:rsidRDefault="001075B0" w:rsidP="00B10AF3">
      <w:pPr>
        <w:rPr>
          <w:rFonts w:ascii="Times New Roman" w:hAnsi="Times New Roman" w:cs="Times New Roman"/>
        </w:rPr>
      </w:pPr>
    </w:p>
    <w:p w14:paraId="11180B70" w14:textId="77777777" w:rsidR="001075B0" w:rsidRDefault="001075B0" w:rsidP="00B10AF3">
      <w:pPr>
        <w:pBdr>
          <w:bottom w:val="single" w:sz="12" w:space="1" w:color="auto"/>
        </w:pBdr>
        <w:rPr>
          <w:rFonts w:ascii="Times New Roman" w:hAnsi="Times New Roman" w:cs="Times New Roman"/>
        </w:rPr>
      </w:pPr>
    </w:p>
    <w:p w14:paraId="1EC256B6" w14:textId="77777777" w:rsidR="001075B0" w:rsidRDefault="001075B0" w:rsidP="00B10AF3">
      <w:pPr>
        <w:rPr>
          <w:rFonts w:ascii="Times New Roman" w:hAnsi="Times New Roman" w:cs="Times New Roman"/>
        </w:rPr>
      </w:pPr>
    </w:p>
    <w:p w14:paraId="47C69973" w14:textId="44D126E0" w:rsidR="001075B0" w:rsidRDefault="001075B0" w:rsidP="00B10AF3">
      <w:pPr>
        <w:rPr>
          <w:rFonts w:ascii="Times New Roman" w:hAnsi="Times New Roman" w:cs="Times New Roman"/>
          <w:b/>
          <w:bCs/>
          <w:sz w:val="32"/>
          <w:szCs w:val="32"/>
        </w:rPr>
      </w:pPr>
      <w:r>
        <w:rPr>
          <w:rFonts w:ascii="Times New Roman" w:hAnsi="Times New Roman" w:cs="Times New Roman"/>
          <w:b/>
          <w:bCs/>
          <w:sz w:val="32"/>
          <w:szCs w:val="32"/>
        </w:rPr>
        <w:t>W</w:t>
      </w:r>
      <w:r w:rsidRPr="001075B0">
        <w:rPr>
          <w:rFonts w:ascii="Times New Roman" w:hAnsi="Times New Roman" w:cs="Times New Roman"/>
          <w:b/>
          <w:bCs/>
          <w:sz w:val="32"/>
          <w:szCs w:val="32"/>
        </w:rPr>
        <w:t>eekly Performance Commentary</w:t>
      </w:r>
      <w:r>
        <w:rPr>
          <w:rFonts w:ascii="Times New Roman" w:hAnsi="Times New Roman" w:cs="Times New Roman"/>
          <w:b/>
          <w:bCs/>
          <w:sz w:val="32"/>
          <w:szCs w:val="32"/>
        </w:rPr>
        <w:t xml:space="preserve"> And Notes</w:t>
      </w:r>
    </w:p>
    <w:p w14:paraId="3C418275" w14:textId="42A43FC2" w:rsidR="001075B0" w:rsidRDefault="00B16B3B" w:rsidP="00B16B3B">
      <w:pPr>
        <w:rPr>
          <w:rFonts w:ascii="Times New Roman" w:hAnsi="Times New Roman" w:cs="Times New Roman"/>
          <w:b/>
          <w:bCs/>
          <w:sz w:val="28"/>
          <w:szCs w:val="28"/>
        </w:rPr>
      </w:pPr>
      <w:r w:rsidRPr="00B16B3B">
        <w:rPr>
          <w:rFonts w:ascii="Times New Roman" w:hAnsi="Times New Roman" w:cs="Times New Roman"/>
          <w:b/>
          <w:bCs/>
          <w:sz w:val="28"/>
          <w:szCs w:val="28"/>
        </w:rPr>
        <w:t>1.</w:t>
      </w:r>
      <w:r>
        <w:rPr>
          <w:rFonts w:ascii="Times New Roman" w:hAnsi="Times New Roman" w:cs="Times New Roman"/>
          <w:b/>
          <w:bCs/>
          <w:sz w:val="28"/>
          <w:szCs w:val="28"/>
        </w:rPr>
        <w:t xml:space="preserve"> Week </w:t>
      </w:r>
      <w:proofErr w:type="gramStart"/>
      <w:r>
        <w:rPr>
          <w:rFonts w:ascii="Times New Roman" w:hAnsi="Times New Roman" w:cs="Times New Roman"/>
          <w:b/>
          <w:bCs/>
          <w:sz w:val="28"/>
          <w:szCs w:val="28"/>
        </w:rPr>
        <w:t>2</w:t>
      </w:r>
      <w:proofErr w:type="gramEnd"/>
    </w:p>
    <w:p w14:paraId="2A6170EE" w14:textId="77777777" w:rsidR="00B16B3B" w:rsidRPr="00B16B3B" w:rsidRDefault="00B16B3B" w:rsidP="00B16B3B">
      <w:pPr>
        <w:rPr>
          <w:rFonts w:ascii="Times New Roman" w:hAnsi="Times New Roman" w:cs="Times New Roman"/>
        </w:rPr>
      </w:pPr>
      <w:r w:rsidRPr="00B16B3B">
        <w:rPr>
          <w:rFonts w:ascii="Times New Roman" w:hAnsi="Times New Roman" w:cs="Times New Roman"/>
          <w:b/>
          <w:bCs/>
        </w:rPr>
        <w:t>Apple (AAPL) — +2.05%</w:t>
      </w:r>
      <w:r w:rsidRPr="00B16B3B">
        <w:rPr>
          <w:rFonts w:ascii="Times New Roman" w:hAnsi="Times New Roman" w:cs="Times New Roman"/>
        </w:rPr>
        <w:br/>
        <w:t xml:space="preserve">This week’s Apple strength </w:t>
      </w:r>
      <w:proofErr w:type="gramStart"/>
      <w:r w:rsidRPr="00B16B3B">
        <w:rPr>
          <w:rFonts w:ascii="Times New Roman" w:hAnsi="Times New Roman" w:cs="Times New Roman"/>
        </w:rPr>
        <w:t>was driven</w:t>
      </w:r>
      <w:proofErr w:type="gramEnd"/>
      <w:r w:rsidRPr="00B16B3B">
        <w:rPr>
          <w:rFonts w:ascii="Times New Roman" w:hAnsi="Times New Roman" w:cs="Times New Roman"/>
        </w:rPr>
        <w:t xml:space="preserve"> by anticipation ahead of earnings, supported by upbeat analyst revisions. JPMorgan raised its price target on AAPL, citing strong iPhone 17 sales and expanded AI-enhanced product momentum, which boosted sentiment in the tech sector. Investors rotated back into mega-cap tech in anticipation of strong revenue and earnings results, positioning ahead of the earnings release. </w:t>
      </w:r>
    </w:p>
    <w:p w14:paraId="02113068" w14:textId="725950EC" w:rsidR="00B16B3B" w:rsidRPr="00B16B3B" w:rsidRDefault="00B16B3B" w:rsidP="00B16B3B">
      <w:pPr>
        <w:rPr>
          <w:rFonts w:ascii="Times New Roman" w:hAnsi="Times New Roman" w:cs="Times New Roman"/>
        </w:rPr>
      </w:pPr>
      <w:r w:rsidRPr="00B16B3B">
        <w:rPr>
          <w:rFonts w:ascii="Times New Roman" w:hAnsi="Times New Roman" w:cs="Times New Roman"/>
          <w:b/>
          <w:bCs/>
        </w:rPr>
        <w:t>BP (BP.L) — +2.49%</w:t>
      </w:r>
      <w:r w:rsidRPr="00B16B3B">
        <w:rPr>
          <w:rFonts w:ascii="Times New Roman" w:hAnsi="Times New Roman" w:cs="Times New Roman"/>
        </w:rPr>
        <w:br/>
        <w:t xml:space="preserve">BP outperformed amid a broader rally in energy stocks and underlying commodity strength. While no BP-specific headline dominated, energy equities have </w:t>
      </w:r>
      <w:proofErr w:type="gramStart"/>
      <w:r w:rsidRPr="00B16B3B">
        <w:rPr>
          <w:rFonts w:ascii="Times New Roman" w:hAnsi="Times New Roman" w:cs="Times New Roman"/>
        </w:rPr>
        <w:t>been buoyed</w:t>
      </w:r>
      <w:proofErr w:type="gramEnd"/>
      <w:r w:rsidRPr="00B16B3B">
        <w:rPr>
          <w:rFonts w:ascii="Times New Roman" w:hAnsi="Times New Roman" w:cs="Times New Roman"/>
        </w:rPr>
        <w:t xml:space="preserve"> by oil price resilience and investor rotation into commodity-linked names as global equities experienced mixed sentiment. </w:t>
      </w:r>
      <w:r>
        <w:rPr>
          <w:rFonts w:ascii="Times New Roman" w:hAnsi="Times New Roman" w:cs="Times New Roman"/>
        </w:rPr>
        <w:t>Trump-related geopolitical developments have led to r</w:t>
      </w:r>
      <w:r w:rsidRPr="00B16B3B">
        <w:rPr>
          <w:rFonts w:ascii="Times New Roman" w:hAnsi="Times New Roman" w:cs="Times New Roman"/>
        </w:rPr>
        <w:t>ising oil prices</w:t>
      </w:r>
      <w:r>
        <w:rPr>
          <w:rFonts w:ascii="Times New Roman" w:hAnsi="Times New Roman" w:cs="Times New Roman"/>
        </w:rPr>
        <w:t>,</w:t>
      </w:r>
      <w:r w:rsidRPr="00B16B3B">
        <w:rPr>
          <w:rFonts w:ascii="Times New Roman" w:hAnsi="Times New Roman" w:cs="Times New Roman"/>
        </w:rPr>
        <w:t xml:space="preserve"> and cyclical positioning pushed sector peers higher. This trend was visible in broader market commentary about energy stock outperformance and sustained investor interest in the energy space. </w:t>
      </w:r>
    </w:p>
    <w:p w14:paraId="3A022674" w14:textId="349A4892" w:rsidR="00B16B3B" w:rsidRPr="00B16B3B" w:rsidRDefault="00B16B3B" w:rsidP="00B16B3B">
      <w:pPr>
        <w:rPr>
          <w:rFonts w:ascii="Times New Roman" w:hAnsi="Times New Roman" w:cs="Times New Roman"/>
        </w:rPr>
      </w:pPr>
      <w:r w:rsidRPr="00B16B3B">
        <w:rPr>
          <w:rFonts w:ascii="Times New Roman" w:hAnsi="Times New Roman" w:cs="Times New Roman"/>
          <w:b/>
          <w:bCs/>
        </w:rPr>
        <w:t>JPMorgan (JPM) — -4.17%</w:t>
      </w:r>
      <w:r w:rsidRPr="00B16B3B">
        <w:rPr>
          <w:rFonts w:ascii="Times New Roman" w:hAnsi="Times New Roman" w:cs="Times New Roman"/>
        </w:rPr>
        <w:br/>
        <w:t xml:space="preserve">JPMorgan underperformed amid continued sector weakness in financials, reflecting investor caution around bank profitability and macro headwinds. Broader banking stocks lagged the market over the week, pressured by mixed earnings from peers and concerns about net interest margin compressions in a flat rate environment. Despite positive earnings headlines earlier in the month, banking sentiment softened as risk appetite rotated toward cyclical and defensive stocks. </w:t>
      </w:r>
    </w:p>
    <w:p w14:paraId="05236308" w14:textId="619F98BA" w:rsidR="00B16B3B" w:rsidRPr="00B16B3B" w:rsidRDefault="00B16B3B" w:rsidP="00B16B3B">
      <w:pPr>
        <w:rPr>
          <w:rFonts w:ascii="Times New Roman" w:hAnsi="Times New Roman" w:cs="Times New Roman"/>
        </w:rPr>
      </w:pPr>
      <w:r w:rsidRPr="00B16B3B">
        <w:rPr>
          <w:rFonts w:ascii="Times New Roman" w:hAnsi="Times New Roman" w:cs="Times New Roman"/>
          <w:b/>
          <w:bCs/>
        </w:rPr>
        <w:t>Unilever (ULVR.L) — +2.37%</w:t>
      </w:r>
      <w:r w:rsidRPr="00B16B3B">
        <w:rPr>
          <w:rFonts w:ascii="Times New Roman" w:hAnsi="Times New Roman" w:cs="Times New Roman"/>
        </w:rPr>
        <w:br/>
        <w:t xml:space="preserve">Unilever’s gain fits the broader pattern of defensive and consumer staple outperformance in a week where markets faced mixed macro signals. UK and European equities showed pockets of strength in non-cyclical sectors, and against a backdrop of inflation surprises and resilient activity data, defensive consumer names like Unilever attracted flows as investors sought earnings stability. </w:t>
      </w:r>
    </w:p>
    <w:p w14:paraId="4CE0FA01" w14:textId="42B3129A" w:rsidR="00B16B3B" w:rsidRPr="00B16B3B" w:rsidRDefault="00B16B3B" w:rsidP="00B16B3B">
      <w:pPr>
        <w:rPr>
          <w:rFonts w:ascii="Times New Roman" w:hAnsi="Times New Roman" w:cs="Times New Roman"/>
        </w:rPr>
      </w:pPr>
      <w:r w:rsidRPr="00B16B3B">
        <w:rPr>
          <w:rFonts w:ascii="Times New Roman" w:hAnsi="Times New Roman" w:cs="Times New Roman"/>
          <w:b/>
          <w:bCs/>
        </w:rPr>
        <w:t>iShares Core S&amp;P 500 ETF (CSP1) — -2.28%</w:t>
      </w:r>
      <w:r w:rsidRPr="00B16B3B">
        <w:rPr>
          <w:rFonts w:ascii="Times New Roman" w:hAnsi="Times New Roman" w:cs="Times New Roman"/>
        </w:rPr>
        <w:br/>
        <w:t xml:space="preserve">The passive US equity ETF lagged as broad US equity markets experienced volatility and mixed returns, with the S&amp;P 500 finishing the week marginally weaker as investors digested geopolitical noise and macro data. A risk-off tilt reduced beta exposure, and sector rotation away from broad indices weighed on the ETF’s price. </w:t>
      </w:r>
    </w:p>
    <w:p w14:paraId="055CECAB" w14:textId="6ADD8186" w:rsidR="00B16B3B" w:rsidRPr="00B16B3B" w:rsidRDefault="00B16B3B" w:rsidP="00B16B3B">
      <w:pPr>
        <w:rPr>
          <w:rFonts w:ascii="Times New Roman" w:hAnsi="Times New Roman" w:cs="Times New Roman"/>
        </w:rPr>
      </w:pPr>
      <w:r w:rsidRPr="00B16B3B">
        <w:rPr>
          <w:rFonts w:ascii="Times New Roman" w:hAnsi="Times New Roman" w:cs="Times New Roman"/>
          <w:b/>
          <w:bCs/>
        </w:rPr>
        <w:t>Vanguard Global Bond Index Fund (VGOV) — -0.83%</w:t>
      </w:r>
      <w:r w:rsidRPr="00B16B3B">
        <w:rPr>
          <w:rFonts w:ascii="Times New Roman" w:hAnsi="Times New Roman" w:cs="Times New Roman"/>
        </w:rPr>
        <w:br/>
        <w:t xml:space="preserve">The bond position declined modestly as government bond yields moved higher and gilts </w:t>
      </w:r>
      <w:r w:rsidRPr="00B16B3B">
        <w:rPr>
          <w:rFonts w:ascii="Times New Roman" w:hAnsi="Times New Roman" w:cs="Times New Roman"/>
        </w:rPr>
        <w:lastRenderedPageBreak/>
        <w:t xml:space="preserve">underperformed, reflecting inflation surprises in the UK and supportive macro activity data that tempered expectations for imminent policy easing. Bonds were weak globally as rates stayed elevated and investors re-priced rate cut expectations based on economic resilience. </w:t>
      </w:r>
    </w:p>
    <w:p w14:paraId="0E1740CC" w14:textId="77777777" w:rsidR="00B16B3B" w:rsidRPr="00B16B3B" w:rsidRDefault="00B16B3B" w:rsidP="00B16B3B">
      <w:pPr>
        <w:rPr>
          <w:rFonts w:ascii="Times New Roman" w:hAnsi="Times New Roman" w:cs="Times New Roman"/>
        </w:rPr>
      </w:pPr>
      <w:r w:rsidRPr="00B16B3B">
        <w:rPr>
          <w:rFonts w:ascii="Times New Roman" w:hAnsi="Times New Roman" w:cs="Times New Roman"/>
          <w:b/>
          <w:bCs/>
        </w:rPr>
        <w:t>Geopolitical and macro risk</w:t>
      </w:r>
      <w:r w:rsidRPr="00B16B3B">
        <w:rPr>
          <w:rFonts w:ascii="Times New Roman" w:hAnsi="Times New Roman" w:cs="Times New Roman"/>
        </w:rPr>
        <w:br/>
        <w:t xml:space="preserve">Markets grappled with renewed geopolitical tension headlines, including tariff rhetoric and uncertainty around trade policy, which increased risk aversion at times and supported defensive and commodity sectors. </w:t>
      </w:r>
    </w:p>
    <w:p w14:paraId="2D1D983E" w14:textId="77777777" w:rsidR="00B16B3B" w:rsidRPr="00B16B3B" w:rsidRDefault="00B16B3B" w:rsidP="00B16B3B">
      <w:pPr>
        <w:rPr>
          <w:rFonts w:ascii="Times New Roman" w:hAnsi="Times New Roman" w:cs="Times New Roman"/>
        </w:rPr>
      </w:pPr>
      <w:r w:rsidRPr="00B16B3B">
        <w:rPr>
          <w:rFonts w:ascii="Times New Roman" w:hAnsi="Times New Roman" w:cs="Times New Roman"/>
          <w:b/>
          <w:bCs/>
        </w:rPr>
        <w:t>Inflation and policy expectations</w:t>
      </w:r>
      <w:r w:rsidRPr="00B16B3B">
        <w:rPr>
          <w:rFonts w:ascii="Times New Roman" w:hAnsi="Times New Roman" w:cs="Times New Roman"/>
        </w:rPr>
        <w:br/>
        <w:t xml:space="preserve">UK inflation surprised to the upside, and economic activity data showed resilience, leading markets to reassess the path and timing of rate cuts. This dynamic pressured bonds and supported defensive equity sectors. </w:t>
      </w:r>
    </w:p>
    <w:p w14:paraId="63665CF6" w14:textId="77777777" w:rsidR="00B16B3B" w:rsidRPr="00B16B3B" w:rsidRDefault="00B16B3B" w:rsidP="00B16B3B">
      <w:pPr>
        <w:rPr>
          <w:rFonts w:ascii="Times New Roman" w:hAnsi="Times New Roman" w:cs="Times New Roman"/>
        </w:rPr>
      </w:pPr>
      <w:r w:rsidRPr="00B16B3B">
        <w:rPr>
          <w:rFonts w:ascii="Times New Roman" w:hAnsi="Times New Roman" w:cs="Times New Roman"/>
          <w:b/>
          <w:bCs/>
        </w:rPr>
        <w:t>Sector rotation</w:t>
      </w:r>
      <w:r w:rsidRPr="00B16B3B">
        <w:rPr>
          <w:rFonts w:ascii="Times New Roman" w:hAnsi="Times New Roman" w:cs="Times New Roman"/>
        </w:rPr>
        <w:br/>
        <w:t>There was a clear rotation pattern: tech and defensive stocks outpaced broad markets, while financials and passive beta lagged. Commodity-linked and energy equities exhibited relative strength, consistent with a mixed macro and geopolitical backdrop.</w:t>
      </w:r>
    </w:p>
    <w:p w14:paraId="49CB5CFA" w14:textId="77777777" w:rsidR="00B16B3B" w:rsidRPr="00B16B3B" w:rsidRDefault="00B16B3B" w:rsidP="00B16B3B">
      <w:pPr>
        <w:rPr>
          <w:rFonts w:ascii="Times New Roman" w:hAnsi="Times New Roman" w:cs="Times New Roman"/>
        </w:rPr>
      </w:pPr>
    </w:p>
    <w:sectPr w:rsidR="00B16B3B" w:rsidRPr="00B16B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67369"/>
    <w:multiLevelType w:val="hybridMultilevel"/>
    <w:tmpl w:val="EE8ACD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EF7308"/>
    <w:multiLevelType w:val="hybridMultilevel"/>
    <w:tmpl w:val="0B38B2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AE5371"/>
    <w:multiLevelType w:val="hybridMultilevel"/>
    <w:tmpl w:val="DACA0B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C1069B"/>
    <w:multiLevelType w:val="hybridMultilevel"/>
    <w:tmpl w:val="FED260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98314BA"/>
    <w:multiLevelType w:val="hybridMultilevel"/>
    <w:tmpl w:val="82BCE1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0238041">
    <w:abstractNumId w:val="4"/>
  </w:num>
  <w:num w:numId="2" w16cid:durableId="307436898">
    <w:abstractNumId w:val="3"/>
  </w:num>
  <w:num w:numId="3" w16cid:durableId="935944414">
    <w:abstractNumId w:val="0"/>
  </w:num>
  <w:num w:numId="4" w16cid:durableId="612909189">
    <w:abstractNumId w:val="2"/>
  </w:num>
  <w:num w:numId="5" w16cid:durableId="335038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DED"/>
    <w:rsid w:val="001075B0"/>
    <w:rsid w:val="00666426"/>
    <w:rsid w:val="00710B7D"/>
    <w:rsid w:val="008333E4"/>
    <w:rsid w:val="008D49C9"/>
    <w:rsid w:val="009F0603"/>
    <w:rsid w:val="00B10AF3"/>
    <w:rsid w:val="00B16B3B"/>
    <w:rsid w:val="00B94419"/>
    <w:rsid w:val="00CB1DED"/>
    <w:rsid w:val="00D102C6"/>
    <w:rsid w:val="00D507E0"/>
    <w:rsid w:val="00E95621"/>
    <w:rsid w:val="00F337B6"/>
    <w:rsid w:val="00F925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EE4C1"/>
  <w15:chartTrackingRefBased/>
  <w15:docId w15:val="{15C3FC51-A104-49BD-B523-C57AE54A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DED"/>
    <w:rPr>
      <w:rFonts w:eastAsiaTheme="majorEastAsia" w:cstheme="majorBidi"/>
      <w:color w:val="272727" w:themeColor="text1" w:themeTint="D8"/>
    </w:rPr>
  </w:style>
  <w:style w:type="paragraph" w:styleId="Title">
    <w:name w:val="Title"/>
    <w:basedOn w:val="Normal"/>
    <w:next w:val="Normal"/>
    <w:link w:val="TitleChar"/>
    <w:uiPriority w:val="10"/>
    <w:qFormat/>
    <w:rsid w:val="00CB1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DED"/>
    <w:pPr>
      <w:spacing w:before="160"/>
      <w:jc w:val="center"/>
    </w:pPr>
    <w:rPr>
      <w:i/>
      <w:iCs/>
      <w:color w:val="404040" w:themeColor="text1" w:themeTint="BF"/>
    </w:rPr>
  </w:style>
  <w:style w:type="character" w:customStyle="1" w:styleId="QuoteChar">
    <w:name w:val="Quote Char"/>
    <w:basedOn w:val="DefaultParagraphFont"/>
    <w:link w:val="Quote"/>
    <w:uiPriority w:val="29"/>
    <w:rsid w:val="00CB1DED"/>
    <w:rPr>
      <w:i/>
      <w:iCs/>
      <w:color w:val="404040" w:themeColor="text1" w:themeTint="BF"/>
    </w:rPr>
  </w:style>
  <w:style w:type="paragraph" w:styleId="ListParagraph">
    <w:name w:val="List Paragraph"/>
    <w:basedOn w:val="Normal"/>
    <w:uiPriority w:val="34"/>
    <w:qFormat/>
    <w:rsid w:val="00CB1DED"/>
    <w:pPr>
      <w:ind w:left="720"/>
      <w:contextualSpacing/>
    </w:pPr>
  </w:style>
  <w:style w:type="character" w:styleId="IntenseEmphasis">
    <w:name w:val="Intense Emphasis"/>
    <w:basedOn w:val="DefaultParagraphFont"/>
    <w:uiPriority w:val="21"/>
    <w:qFormat/>
    <w:rsid w:val="00CB1DED"/>
    <w:rPr>
      <w:i/>
      <w:iCs/>
      <w:color w:val="0F4761" w:themeColor="accent1" w:themeShade="BF"/>
    </w:rPr>
  </w:style>
  <w:style w:type="paragraph" w:styleId="IntenseQuote">
    <w:name w:val="Intense Quote"/>
    <w:basedOn w:val="Normal"/>
    <w:next w:val="Normal"/>
    <w:link w:val="IntenseQuoteChar"/>
    <w:uiPriority w:val="30"/>
    <w:qFormat/>
    <w:rsid w:val="00CB1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DED"/>
    <w:rPr>
      <w:i/>
      <w:iCs/>
      <w:color w:val="0F4761" w:themeColor="accent1" w:themeShade="BF"/>
    </w:rPr>
  </w:style>
  <w:style w:type="character" w:styleId="IntenseReference">
    <w:name w:val="Intense Reference"/>
    <w:basedOn w:val="DefaultParagraphFont"/>
    <w:uiPriority w:val="32"/>
    <w:qFormat/>
    <w:rsid w:val="00CB1D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1068</Words>
  <Characters>6091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Kesse, Samuel (2023)</dc:creator>
  <cp:keywords/>
  <dc:description/>
  <cp:lastModifiedBy>Kesse, Samuel (2023)</cp:lastModifiedBy>
  <cp:revision>3</cp:revision>
  <dcterms:created xsi:type="dcterms:W3CDTF">2026-01-23T01:08:00Z</dcterms:created>
  <dcterms:modified xsi:type="dcterms:W3CDTF">2026-01-27T17:18:00Z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a64d5e8c-3cff-429e-8652-3b19728db37c</vt:lpwstr>
  </property>
</Properties>
</file>