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Shreyas Bharadwaj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UID: 705 342 716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4: GooberEats Report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Asymptotic Time Complexity of the Following Functions: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StreetMap::load()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function, on a general level, makes a single pass through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and inserts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StreetSegment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into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ExpandableHashMap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structure. Supposing that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ExpandableHashMap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implemented like a hash table, insertions and lookups are all done in constant time; that is,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O(1).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it inserts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segments, namely those that are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total runtime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StreetMap::getSegmentsThatStartWith()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is essentially nothing but a lookup for a hashtable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KeyType GeoCoord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ValueType vector&lt;StreetSegment&gt;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Therefore, as long as the load of the hashtable is properly maintained, the runtime in the average case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hashtable of say,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key-value pairs.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PointToPointRouter::generatePointToPointRoute()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is a queue-based breadth first search of the graph of coordinates stored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order to find a list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StreetSegments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first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GeoCoord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second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GeoCoord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Therefore, given a graph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nodes, the breadth first search will have to traverse at most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nodes to find the path from the given starting node to the end node. The runtime is hence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DeliveryOptimizer::optimizeDeliveryOrder()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optimizeDeliveryOrder()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picks the shortest distance from each delivery point to the next, starting and ending with the depot. To do so, it goes through the vector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nested for loop, and therefore runs in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given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