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63C1" w14:textId="61F8D997" w:rsidR="000C2F35" w:rsidRPr="00F96CED" w:rsidRDefault="002424D3" w:rsidP="000D069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F96CED">
        <w:rPr>
          <w:rFonts w:ascii="Times New Roman" w:hAnsi="Times New Roman" w:cs="Times New Roman"/>
          <w:b/>
          <w:bCs/>
          <w:sz w:val="32"/>
          <w:szCs w:val="32"/>
        </w:rPr>
        <w:t xml:space="preserve">SDM Assignment </w:t>
      </w:r>
      <w:r w:rsidR="00DA193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96CED">
        <w:rPr>
          <w:rFonts w:ascii="Times New Roman" w:hAnsi="Times New Roman" w:cs="Times New Roman"/>
          <w:b/>
          <w:bCs/>
          <w:sz w:val="32"/>
          <w:szCs w:val="32"/>
        </w:rPr>
        <w:t xml:space="preserve"> – Sai Kiran Batchu</w:t>
      </w:r>
    </w:p>
    <w:p w14:paraId="1EE20D1E" w14:textId="7EAA1C0B" w:rsidR="009D78C1" w:rsidRPr="00C270DA" w:rsidRDefault="00F25121" w:rsidP="009D78C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6C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given data is a </w:t>
      </w:r>
      <w:r w:rsidR="00DA193C">
        <w:rPr>
          <w:rFonts w:ascii="Times New Roman" w:hAnsi="Times New Roman" w:cs="Times New Roman"/>
          <w:sz w:val="24"/>
          <w:szCs w:val="24"/>
          <w:shd w:val="clear" w:color="auto" w:fill="FFFFFF"/>
        </w:rPr>
        <w:t>survival model</w:t>
      </w:r>
      <w:r w:rsidRPr="00F96C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type with</w:t>
      </w:r>
      <w:r w:rsidR="00DA19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survival days and status as the y variables</w:t>
      </w:r>
      <w:r w:rsidRPr="00F96C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E276DE6" w14:textId="1348E504" w:rsidR="002B302A" w:rsidRPr="00F96CED" w:rsidRDefault="002078AE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 xml:space="preserve">Survival in Days </w:t>
      </w:r>
      <w:r w:rsidR="009D78C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>D</w:t>
      </w:r>
      <w:r w:rsidR="00062656" w:rsidRPr="00F96CE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>ependent variable</w:t>
      </w:r>
      <w:r w:rsidR="005F0C50" w:rsidRPr="00F96CE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 xml:space="preserve"> Predictor Table</w:t>
      </w:r>
    </w:p>
    <w:tbl>
      <w:tblPr>
        <w:tblStyle w:val="TableGrid"/>
        <w:tblW w:w="11105" w:type="dxa"/>
        <w:tblLook w:val="04A0" w:firstRow="1" w:lastRow="0" w:firstColumn="1" w:lastColumn="0" w:noHBand="0" w:noVBand="1"/>
      </w:tblPr>
      <w:tblGrid>
        <w:gridCol w:w="2080"/>
        <w:gridCol w:w="992"/>
        <w:gridCol w:w="8033"/>
      </w:tblGrid>
      <w:tr w:rsidR="002424D3" w:rsidRPr="00F96CED" w14:paraId="6DDA6502" w14:textId="77777777" w:rsidTr="00E91FDA">
        <w:trPr>
          <w:trHeight w:val="541"/>
        </w:trPr>
        <w:tc>
          <w:tcPr>
            <w:tcW w:w="2080" w:type="dxa"/>
            <w:shd w:val="clear" w:color="auto" w:fill="8EAADB" w:themeFill="accent1" w:themeFillTint="99"/>
          </w:tcPr>
          <w:p w14:paraId="4393AA2D" w14:textId="4D2A2C37" w:rsidR="002424D3" w:rsidRPr="00F96CED" w:rsidRDefault="00A03D38" w:rsidP="000D0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Predictor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12F455C5" w14:textId="2B3FD17B" w:rsidR="002424D3" w:rsidRPr="00F96CED" w:rsidRDefault="00A03D38" w:rsidP="000D0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8033" w:type="dxa"/>
            <w:shd w:val="clear" w:color="auto" w:fill="8EAADB" w:themeFill="accent1" w:themeFillTint="99"/>
          </w:tcPr>
          <w:p w14:paraId="428B1CBD" w14:textId="362B6C61" w:rsidR="002424D3" w:rsidRPr="00F96CED" w:rsidRDefault="00A03D38" w:rsidP="000D0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Rationale</w:t>
            </w:r>
          </w:p>
        </w:tc>
      </w:tr>
      <w:tr w:rsidR="002424D3" w:rsidRPr="00F96CED" w14:paraId="2230DDE4" w14:textId="77777777" w:rsidTr="00E91FDA">
        <w:trPr>
          <w:trHeight w:val="364"/>
        </w:trPr>
        <w:tc>
          <w:tcPr>
            <w:tcW w:w="2080" w:type="dxa"/>
          </w:tcPr>
          <w:p w14:paraId="3D801891" w14:textId="7D521499" w:rsidR="002424D3" w:rsidRPr="00F96CED" w:rsidRDefault="002078AE" w:rsidP="000D06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7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992" w:type="dxa"/>
          </w:tcPr>
          <w:p w14:paraId="763B4FBC" w14:textId="339F4BF9" w:rsidR="002424D3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8033" w:type="dxa"/>
          </w:tcPr>
          <w:p w14:paraId="5C6ED010" w14:textId="57418110" w:rsidR="002424D3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treatment types can have either positive or negative </w:t>
            </w:r>
            <w:r w:rsidR="00CB7A0B">
              <w:rPr>
                <w:rFonts w:ascii="Times New Roman" w:hAnsi="Times New Roman" w:cs="Times New Roman"/>
                <w:sz w:val="24"/>
                <w:szCs w:val="24"/>
              </w:rPr>
              <w:t>effects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r w:rsidR="00CB7A0B">
              <w:rPr>
                <w:rFonts w:ascii="Times New Roman" w:hAnsi="Times New Roman" w:cs="Times New Roman"/>
                <w:sz w:val="24"/>
                <w:szCs w:val="24"/>
              </w:rPr>
              <w:t>patient’s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survival</w:t>
            </w:r>
          </w:p>
        </w:tc>
      </w:tr>
      <w:tr w:rsidR="002424D3" w:rsidRPr="00F96CED" w14:paraId="0979DF27" w14:textId="77777777" w:rsidTr="00E91FDA">
        <w:trPr>
          <w:trHeight w:val="384"/>
        </w:trPr>
        <w:tc>
          <w:tcPr>
            <w:tcW w:w="2080" w:type="dxa"/>
          </w:tcPr>
          <w:p w14:paraId="27E84D5A" w14:textId="19262F18" w:rsidR="003E02C7" w:rsidRPr="00F96CED" w:rsidRDefault="002078AE" w:rsidP="000D06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7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Cell type</w:t>
            </w:r>
          </w:p>
          <w:p w14:paraId="47BD32C5" w14:textId="2AE9B1FF" w:rsidR="002424D3" w:rsidRPr="00F96CED" w:rsidRDefault="002424D3" w:rsidP="000D06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517939" w14:textId="66B78CE7" w:rsidR="002424D3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8033" w:type="dxa"/>
          </w:tcPr>
          <w:p w14:paraId="10A44864" w14:textId="3B084104" w:rsidR="002424D3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Squamous, adeno, and large cell types often have more survival rates than small cell typed cancers</w:t>
            </w:r>
          </w:p>
        </w:tc>
      </w:tr>
      <w:tr w:rsidR="002424D3" w:rsidRPr="00F96CED" w14:paraId="1CF3D231" w14:textId="77777777" w:rsidTr="00E91FDA">
        <w:trPr>
          <w:trHeight w:val="405"/>
        </w:trPr>
        <w:tc>
          <w:tcPr>
            <w:tcW w:w="2080" w:type="dxa"/>
          </w:tcPr>
          <w:p w14:paraId="23727ED6" w14:textId="5207026D" w:rsidR="002424D3" w:rsidRPr="00F96CED" w:rsidRDefault="002078AE" w:rsidP="000D06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07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Karnofsky</w:t>
            </w:r>
            <w:proofErr w:type="spellEnd"/>
            <w:r w:rsidRPr="00207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score</w:t>
            </w:r>
          </w:p>
        </w:tc>
        <w:tc>
          <w:tcPr>
            <w:tcW w:w="992" w:type="dxa"/>
          </w:tcPr>
          <w:p w14:paraId="7A789CE6" w14:textId="63AB7AF0" w:rsidR="002424D3" w:rsidRPr="00F96CED" w:rsidRDefault="003E02C7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CE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33" w:type="dxa"/>
          </w:tcPr>
          <w:p w14:paraId="00281680" w14:textId="12B186DD" w:rsidR="002424D3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Karnofsky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can indicate </w:t>
            </w:r>
            <w:r w:rsidR="00CB7A0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higher survival rate as the person is healthier</w:t>
            </w:r>
          </w:p>
        </w:tc>
      </w:tr>
      <w:tr w:rsidR="002424D3" w:rsidRPr="00F96CED" w14:paraId="40005EE9" w14:textId="77777777" w:rsidTr="00E91FDA">
        <w:trPr>
          <w:trHeight w:val="384"/>
        </w:trPr>
        <w:tc>
          <w:tcPr>
            <w:tcW w:w="2080" w:type="dxa"/>
          </w:tcPr>
          <w:p w14:paraId="50D3634A" w14:textId="73174147" w:rsidR="002424D3" w:rsidRPr="00F96CED" w:rsidRDefault="002078AE" w:rsidP="000D06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7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Months from Diagnosis</w:t>
            </w:r>
          </w:p>
        </w:tc>
        <w:tc>
          <w:tcPr>
            <w:tcW w:w="992" w:type="dxa"/>
          </w:tcPr>
          <w:p w14:paraId="5894ECAA" w14:textId="7C262936" w:rsidR="002424D3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33" w:type="dxa"/>
          </w:tcPr>
          <w:p w14:paraId="64482D57" w14:textId="57B836C5" w:rsidR="007845BE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months of diagnosis can yield lower survival rates as cancer must have grown by that time unless treated properly</w:t>
            </w:r>
          </w:p>
        </w:tc>
      </w:tr>
      <w:tr w:rsidR="004A1C48" w:rsidRPr="00F96CED" w14:paraId="60A14CE2" w14:textId="77777777" w:rsidTr="00E91FDA">
        <w:trPr>
          <w:trHeight w:val="405"/>
        </w:trPr>
        <w:tc>
          <w:tcPr>
            <w:tcW w:w="2080" w:type="dxa"/>
          </w:tcPr>
          <w:p w14:paraId="570F004C" w14:textId="27952E9F" w:rsidR="004A1C48" w:rsidRPr="00F96CED" w:rsidRDefault="002078AE" w:rsidP="000D06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78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 in years</w:t>
            </w:r>
          </w:p>
        </w:tc>
        <w:tc>
          <w:tcPr>
            <w:tcW w:w="992" w:type="dxa"/>
          </w:tcPr>
          <w:p w14:paraId="758B4756" w14:textId="6E116C98" w:rsidR="004A1C48" w:rsidRPr="00F96CED" w:rsidRDefault="002078AE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33" w:type="dxa"/>
          </w:tcPr>
          <w:p w14:paraId="7B3CA560" w14:textId="482A50D7" w:rsidR="004A1C48" w:rsidRPr="00F96CED" w:rsidRDefault="00CB7A0B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aged</w:t>
            </w:r>
            <w:r w:rsidR="002078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 can have a lower survival chance of cancer</w:t>
            </w:r>
          </w:p>
        </w:tc>
      </w:tr>
      <w:tr w:rsidR="004A1C48" w:rsidRPr="00F96CED" w14:paraId="406E0721" w14:textId="77777777" w:rsidTr="00E91FDA">
        <w:trPr>
          <w:trHeight w:val="384"/>
        </w:trPr>
        <w:tc>
          <w:tcPr>
            <w:tcW w:w="2080" w:type="dxa"/>
          </w:tcPr>
          <w:p w14:paraId="20196112" w14:textId="299D7896" w:rsidR="004A1C48" w:rsidRPr="00F96CED" w:rsidRDefault="00CB7A0B" w:rsidP="000D069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A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 chemotherapy</w:t>
            </w:r>
          </w:p>
        </w:tc>
        <w:tc>
          <w:tcPr>
            <w:tcW w:w="992" w:type="dxa"/>
          </w:tcPr>
          <w:p w14:paraId="08ADAC89" w14:textId="418750C7" w:rsidR="004A1C48" w:rsidRPr="00F96CED" w:rsidRDefault="00CB7A0B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8033" w:type="dxa"/>
          </w:tcPr>
          <w:p w14:paraId="09C0B1B4" w14:textId="79F04691" w:rsidR="004A1C48" w:rsidRPr="00F96CED" w:rsidRDefault="00CB7A0B" w:rsidP="000D0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have a positive or negative impact on the person’s survival as the cancer cells can be milder / harsher if diagnosed again.</w:t>
            </w:r>
          </w:p>
        </w:tc>
      </w:tr>
    </w:tbl>
    <w:p w14:paraId="7136CA9E" w14:textId="77777777" w:rsidR="00CF1707" w:rsidRDefault="00CF1707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</w:pPr>
    </w:p>
    <w:p w14:paraId="717FE1D0" w14:textId="29BDCB8E" w:rsidR="0058496D" w:rsidRPr="00F96CED" w:rsidRDefault="0058496D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</w:pPr>
      <w:r w:rsidRPr="00F96CE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  <w:t>Feature Engineering</w:t>
      </w:r>
    </w:p>
    <w:p w14:paraId="6A887C45" w14:textId="069A2DC8" w:rsidR="00FF07B6" w:rsidRPr="00FF07B6" w:rsidRDefault="00FF07B6" w:rsidP="000D06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Cell_type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my study, I found that small cell cancer type is more deadly as the spread is very faster and there are chances of getting cancer again. Mostly </w:t>
      </w:r>
      <w:proofErr w:type="spellStart"/>
      <w:r w:rsidR="005C7319">
        <w:rPr>
          <w:rFonts w:ascii="Times New Roman" w:hAnsi="Times New Roman" w:cs="Times New Roman"/>
          <w:sz w:val="24"/>
          <w:szCs w:val="24"/>
          <w:shd w:val="clear" w:color="auto" w:fill="FFFFFF"/>
        </w:rPr>
        <w:t>squamos</w:t>
      </w:r>
      <w:proofErr w:type="spellEnd"/>
      <w:r w:rsidR="005C73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adeno and large cell types are considered as </w:t>
      </w:r>
      <w:r w:rsidR="00021346">
        <w:rPr>
          <w:rFonts w:ascii="Times New Roman" w:hAnsi="Times New Roman" w:cs="Times New Roman"/>
          <w:sz w:val="24"/>
          <w:szCs w:val="24"/>
          <w:shd w:val="clear" w:color="auto" w:fill="FFFFFF"/>
        </w:rPr>
        <w:t>non-small</w:t>
      </w:r>
      <w:r w:rsidR="005C73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cell type lung </w:t>
      </w:r>
      <w:proofErr w:type="gramStart"/>
      <w:r w:rsidR="005C7319">
        <w:rPr>
          <w:rFonts w:ascii="Times New Roman" w:hAnsi="Times New Roman" w:cs="Times New Roman"/>
          <w:sz w:val="24"/>
          <w:szCs w:val="24"/>
          <w:shd w:val="clear" w:color="auto" w:fill="FFFFFF"/>
        </w:rPr>
        <w:t>cancers</w:t>
      </w:r>
      <w:proofErr w:type="gramEnd"/>
      <w:r w:rsidR="005C73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I grouped them into </w:t>
      </w:r>
      <w:proofErr w:type="spellStart"/>
      <w:r w:rsidR="005C7319">
        <w:rPr>
          <w:rFonts w:ascii="Times New Roman" w:hAnsi="Times New Roman" w:cs="Times New Roman"/>
          <w:sz w:val="24"/>
          <w:szCs w:val="24"/>
          <w:shd w:val="clear" w:color="auto" w:fill="FFFFFF"/>
        </w:rPr>
        <w:t>non_small_cell</w:t>
      </w:r>
      <w:proofErr w:type="spellEnd"/>
      <w:r w:rsidR="005C73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type.</w:t>
      </w:r>
    </w:p>
    <w:p w14:paraId="2FD9AC21" w14:textId="7C33CE91" w:rsidR="00CF05B5" w:rsidRPr="00F96CED" w:rsidRDefault="00062656" w:rsidP="000D0693">
      <w:pPr>
        <w:spacing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u w:val="single"/>
          <w:shd w:val="clear" w:color="auto" w:fill="FFFFFF"/>
        </w:rPr>
      </w:pPr>
      <w:r w:rsidRPr="00F96CE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  <w:t>Models</w:t>
      </w:r>
    </w:p>
    <w:p w14:paraId="41AD1BC2" w14:textId="3E5F35F0" w:rsidR="00390874" w:rsidRDefault="008B0BC6" w:rsidP="000D06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6C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have created </w:t>
      </w:r>
      <w:r w:rsid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F96C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parametric, 1 semi-parametric, and a non-parametric model to study the marginal effects of relevant predictors and survival graphs.</w:t>
      </w:r>
    </w:p>
    <w:p w14:paraId="328B220A" w14:textId="544D8E76" w:rsidR="0000275C" w:rsidRDefault="0000275C" w:rsidP="000D06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= </w:t>
      </w:r>
      <w:proofErr w:type="spellStart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Surv</w:t>
      </w:r>
      <w:proofErr w:type="spellEnd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survival_</w:t>
      </w:r>
      <w:proofErr w:type="gramStart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days,status</w:t>
      </w:r>
      <w:proofErr w:type="spellEnd"/>
      <w:proofErr w:type="gramEnd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8071979" w14:textId="18B88E38" w:rsidR="0000275C" w:rsidRPr="00F96CED" w:rsidRDefault="0000275C" w:rsidP="000D06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275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Non Parametric: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km2 = </w:t>
      </w:r>
      <w:proofErr w:type="spellStart"/>
      <w:proofErr w:type="gramStart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survfit</w:t>
      </w:r>
      <w:proofErr w:type="spellEnd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y~ </w:t>
      </w:r>
      <w:proofErr w:type="spellStart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treatment_type</w:t>
      </w:r>
      <w:proofErr w:type="spellEnd"/>
      <w:r w:rsidRPr="0000275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1B32148" w14:textId="7DDC3DDB" w:rsidR="0000275C" w:rsidRPr="0000275C" w:rsidRDefault="0000275C" w:rsidP="000D06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Semi-Parametric: </w:t>
      </w:r>
      <w:r w:rsidRPr="0000275C">
        <w:rPr>
          <w:rFonts w:ascii="Times New Roman" w:hAnsi="Times New Roman" w:cs="Times New Roman"/>
          <w:sz w:val="24"/>
          <w:szCs w:val="24"/>
        </w:rPr>
        <w:t xml:space="preserve">cox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0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75C">
        <w:rPr>
          <w:rFonts w:ascii="Times New Roman" w:hAnsi="Times New Roman" w:cs="Times New Roman"/>
          <w:sz w:val="24"/>
          <w:szCs w:val="24"/>
        </w:rPr>
        <w:t>coxph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75C">
        <w:rPr>
          <w:rFonts w:ascii="Times New Roman" w:hAnsi="Times New Roman" w:cs="Times New Roman"/>
          <w:sz w:val="24"/>
          <w:szCs w:val="24"/>
        </w:rPr>
        <w:t xml:space="preserve">y ~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treatment_type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age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cell_type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karnofsky_score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prior_chemo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months_from_diagnosis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>)</w:t>
      </w:r>
    </w:p>
    <w:p w14:paraId="551C0632" w14:textId="43543738" w:rsidR="0000275C" w:rsidRDefault="0000275C" w:rsidP="000D06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Parametric</w:t>
      </w:r>
      <w:r w:rsidR="00B443DE" w:rsidRPr="00F96C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443DE" w:rsidRPr="00F96C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275C">
        <w:rPr>
          <w:rFonts w:ascii="Times New Roman" w:hAnsi="Times New Roman" w:cs="Times New Roman"/>
          <w:sz w:val="24"/>
          <w:szCs w:val="24"/>
        </w:rPr>
        <w:t xml:space="preserve">exp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0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75C">
        <w:rPr>
          <w:rFonts w:ascii="Times New Roman" w:hAnsi="Times New Roman" w:cs="Times New Roman"/>
          <w:sz w:val="24"/>
          <w:szCs w:val="24"/>
        </w:rPr>
        <w:t>survreg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75C">
        <w:rPr>
          <w:rFonts w:ascii="Times New Roman" w:hAnsi="Times New Roman" w:cs="Times New Roman"/>
          <w:sz w:val="24"/>
          <w:szCs w:val="24"/>
        </w:rPr>
        <w:t xml:space="preserve">y ~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treatment_type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age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cell_type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karnofsky_score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prior_chemo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months_from_diagnosis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>="exponential")</w:t>
      </w:r>
    </w:p>
    <w:p w14:paraId="07D9BCEA" w14:textId="790EF58D" w:rsidR="0000275C" w:rsidRDefault="0000275C" w:rsidP="000D06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Parametric</w:t>
      </w:r>
      <w:r w:rsidR="00B443DE" w:rsidRPr="00F96C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443DE" w:rsidRPr="00F96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weibull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0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275C">
        <w:rPr>
          <w:rFonts w:ascii="Times New Roman" w:hAnsi="Times New Roman" w:cs="Times New Roman"/>
          <w:sz w:val="24"/>
          <w:szCs w:val="24"/>
        </w:rPr>
        <w:t>survreg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75C">
        <w:rPr>
          <w:rFonts w:ascii="Times New Roman" w:hAnsi="Times New Roman" w:cs="Times New Roman"/>
          <w:sz w:val="24"/>
          <w:szCs w:val="24"/>
        </w:rPr>
        <w:t xml:space="preserve">y ~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treatment_type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age 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cell_type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karnofsky_score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prior_chemo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months_from_diagnosis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0275C">
        <w:rPr>
          <w:rFonts w:ascii="Times New Roman" w:hAnsi="Times New Roman" w:cs="Times New Roman"/>
          <w:sz w:val="24"/>
          <w:szCs w:val="24"/>
        </w:rPr>
        <w:t>weibull</w:t>
      </w:r>
      <w:proofErr w:type="spellEnd"/>
      <w:r w:rsidRPr="0000275C">
        <w:rPr>
          <w:rFonts w:ascii="Times New Roman" w:hAnsi="Times New Roman" w:cs="Times New Roman"/>
          <w:sz w:val="24"/>
          <w:szCs w:val="24"/>
        </w:rPr>
        <w:t>")</w:t>
      </w:r>
    </w:p>
    <w:p w14:paraId="3228ED43" w14:textId="77777777" w:rsidR="00440336" w:rsidRDefault="00440336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</w:p>
    <w:p w14:paraId="418A457F" w14:textId="0DEF58A8" w:rsidR="009D690D" w:rsidRDefault="009D690D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 xml:space="preserve">Summary of non-parametric models </w:t>
      </w:r>
    </w:p>
    <w:p w14:paraId="05029149" w14:textId="77777777" w:rsidR="009D690D" w:rsidRDefault="009D690D" w:rsidP="000D069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90D">
        <w:rPr>
          <w:rFonts w:ascii="Times New Roman" w:hAnsi="Times New Roman" w:cs="Times New Roman"/>
          <w:b/>
          <w:bCs/>
          <w:sz w:val="24"/>
          <w:szCs w:val="24"/>
        </w:rPr>
        <w:t xml:space="preserve">Treatment type 0 = standard treatment </w:t>
      </w:r>
    </w:p>
    <w:p w14:paraId="5DDFA25F" w14:textId="781797CA" w:rsidR="009D690D" w:rsidRPr="009D690D" w:rsidRDefault="009D690D" w:rsidP="000D0693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D690D">
        <w:rPr>
          <w:rFonts w:ascii="Times New Roman" w:hAnsi="Times New Roman" w:cs="Times New Roman"/>
          <w:b/>
          <w:bCs/>
          <w:sz w:val="24"/>
          <w:szCs w:val="24"/>
        </w:rPr>
        <w:t>reatment type 1 = test treatment</w:t>
      </w:r>
    </w:p>
    <w:p w14:paraId="69BC5C5B" w14:textId="7A2FF94E" w:rsidR="004074DA" w:rsidRDefault="004074DA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EA0E4A" wp14:editId="3936C285">
            <wp:simplePos x="0" y="0"/>
            <wp:positionH relativeFrom="margin">
              <wp:align>left</wp:align>
            </wp:positionH>
            <wp:positionV relativeFrom="paragraph">
              <wp:posOffset>6515100</wp:posOffset>
            </wp:positionV>
            <wp:extent cx="5646420" cy="2621280"/>
            <wp:effectExtent l="0" t="0" r="0" b="7620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690D" w:rsidRPr="009D690D"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sz w:val="24"/>
          <w:szCs w:val="24"/>
          <w:u w:val="single"/>
        </w:rPr>
        <w:drawing>
          <wp:inline distT="0" distB="0" distL="0" distR="0" wp14:anchorId="6398F0F6" wp14:editId="1AA71810">
            <wp:extent cx="3299460" cy="6377940"/>
            <wp:effectExtent l="0" t="0" r="0" b="381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90D" w:rsidRPr="009D690D"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69AD5ED" wp14:editId="46D7CC66">
            <wp:simplePos x="457200" y="731520"/>
            <wp:positionH relativeFrom="column">
              <wp:align>left</wp:align>
            </wp:positionH>
            <wp:positionV relativeFrom="paragraph">
              <wp:align>top</wp:align>
            </wp:positionV>
            <wp:extent cx="3413760" cy="6385560"/>
            <wp:effectExtent l="0" t="0" r="0" b="0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 xml:space="preserve"> </w:t>
      </w:r>
    </w:p>
    <w:p w14:paraId="3FAC6C00" w14:textId="77777777" w:rsidR="004074DA" w:rsidRDefault="004074DA" w:rsidP="004074D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37808FE1" w14:textId="77777777" w:rsidR="004074DA" w:rsidRDefault="004074DA" w:rsidP="004074D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110BCAFA" w14:textId="77777777" w:rsidR="004074DA" w:rsidRDefault="004074DA" w:rsidP="004074D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3E0A6D96" w14:textId="77777777" w:rsidR="004074DA" w:rsidRDefault="004074DA" w:rsidP="004074D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</w:p>
    <w:p w14:paraId="1D7C14E8" w14:textId="0C76A0FB" w:rsidR="004074DA" w:rsidRPr="004074DA" w:rsidRDefault="004074DA" w:rsidP="004074D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3F384" wp14:editId="5C1D1ED6">
                <wp:simplePos x="0" y="0"/>
                <wp:positionH relativeFrom="column">
                  <wp:posOffset>5067300</wp:posOffset>
                </wp:positionH>
                <wp:positionV relativeFrom="paragraph">
                  <wp:posOffset>283845</wp:posOffset>
                </wp:positionV>
                <wp:extent cx="647700" cy="45719"/>
                <wp:effectExtent l="38100" t="38100" r="1905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F2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9pt;margin-top:22.35pt;width:51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4074D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Kaplan Meier Survival Graph</w:t>
      </w:r>
    </w:p>
    <w:p w14:paraId="14A79475" w14:textId="3FB560D1" w:rsidR="0040730B" w:rsidRDefault="004074DA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lastRenderedPageBreak/>
        <w:br w:type="textWrapping" w:clear="all"/>
      </w:r>
      <w:r w:rsidR="0040730B" w:rsidRPr="00F96CE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>Stargazer summary of the</w:t>
      </w:r>
      <w:r w:rsidR="009D690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 xml:space="preserve"> Parametric and semi-parametric</w:t>
      </w:r>
      <w:r w:rsidR="0040730B" w:rsidRPr="00F96CED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  <w:t xml:space="preserve"> models</w:t>
      </w:r>
    </w:p>
    <w:p w14:paraId="117071F9" w14:textId="7A23013E" w:rsidR="009D690D" w:rsidRDefault="00440336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440336"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sz w:val="24"/>
          <w:szCs w:val="24"/>
          <w:u w:val="single"/>
        </w:rPr>
        <w:drawing>
          <wp:inline distT="0" distB="0" distL="0" distR="0" wp14:anchorId="2BF3B1EB" wp14:editId="389B4625">
            <wp:extent cx="6751320" cy="21183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997" cy="21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EC0" w14:textId="0FDC4E25" w:rsidR="009D690D" w:rsidRPr="00F96CED" w:rsidRDefault="00440336" w:rsidP="000D0693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440336">
        <w:rPr>
          <w:rFonts w:ascii="Times New Roman" w:hAnsi="Times New Roman" w:cs="Times New Roman"/>
          <w:b/>
          <w:bCs/>
          <w:i/>
          <w:iCs/>
          <w:noProof/>
          <w:color w:val="4472C4" w:themeColor="accent1"/>
          <w:sz w:val="24"/>
          <w:szCs w:val="24"/>
          <w:u w:val="single"/>
        </w:rPr>
        <w:drawing>
          <wp:inline distT="0" distB="0" distL="0" distR="0" wp14:anchorId="3C2AF905" wp14:editId="4561AA37">
            <wp:extent cx="6880860" cy="360426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1471" cy="36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0918" w14:textId="62C01D72" w:rsidR="008E29B2" w:rsidRPr="008E29B2" w:rsidRDefault="008E29B2" w:rsidP="008E29B2">
      <w:pPr>
        <w:spacing w:line="240" w:lineRule="auto"/>
        <w:ind w:firstLine="360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</w:pPr>
      <w:r w:rsidRPr="008E29B2">
        <w:rPr>
          <w:rFonts w:ascii="Lato" w:hAnsi="Lato"/>
          <w:i/>
          <w:iCs/>
          <w:color w:val="4472C4" w:themeColor="accent1"/>
          <w:shd w:val="clear" w:color="auto" w:fill="FFFFFF"/>
        </w:rPr>
        <w:t>1</w:t>
      </w:r>
      <w:r w:rsidRPr="008E29B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  <w:t>. We would like to see Kaplan-Meier survival graphs for patients with the test vs standard treatment. Use this data to assess:</w:t>
      </w:r>
    </w:p>
    <w:p w14:paraId="0410A887" w14:textId="067C7C1E" w:rsidR="00CA5EEB" w:rsidRDefault="00CA5EEB" w:rsidP="00CA5EEB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</w:pPr>
      <w:r w:rsidRPr="00CA5EE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  <w:t>What is the probability that the patient will survive for 6 months (183 days) and 1 year (365 days) on the standard treatment vs the test treatment?</w:t>
      </w:r>
    </w:p>
    <w:p w14:paraId="4002BFB9" w14:textId="713AB10D" w:rsidR="00483EBC" w:rsidRPr="00483EBC" w:rsidRDefault="00483EBC" w:rsidP="00483EB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03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Treatment group Standard</w:t>
      </w:r>
      <w:r w:rsidRPr="00483EBC">
        <w:rPr>
          <w:rFonts w:ascii="Times New Roman" w:hAnsi="Times New Roman" w:cs="Times New Roman"/>
          <w:sz w:val="24"/>
          <w:szCs w:val="24"/>
          <w:shd w:val="clear" w:color="auto" w:fill="FFFFFF"/>
        </w:rPr>
        <w:t>: the probability of a patient surviving for 6 months is approximately 21.24% (taking 177 days from the KM output) and the probability of a patient surviving for 365 days is approximately 53.1% (taking 384 days from the KM output)</w:t>
      </w:r>
    </w:p>
    <w:p w14:paraId="1F547526" w14:textId="4ECBC896" w:rsidR="00483EBC" w:rsidRDefault="00483EBC" w:rsidP="00483EB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03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Treatment group Test</w:t>
      </w:r>
      <w:r w:rsidRPr="00483EBC">
        <w:rPr>
          <w:rFonts w:ascii="Times New Roman" w:hAnsi="Times New Roman" w:cs="Times New Roman"/>
          <w:sz w:val="24"/>
          <w:szCs w:val="24"/>
          <w:shd w:val="clear" w:color="auto" w:fill="FFFFFF"/>
        </w:rPr>
        <w:t>: the probability of a patient surviving for 6 months is approximately 21.62% (taking 186 days from the KM output) and the probability of a patient surviving for 365 days is approximately 10.98% (taking 357 days from the KM output)</w:t>
      </w:r>
    </w:p>
    <w:p w14:paraId="7ADAFCB4" w14:textId="77777777" w:rsidR="004074DA" w:rsidRDefault="004074DA" w:rsidP="00483EB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7C9505" w14:textId="56D20925" w:rsidR="00483EBC" w:rsidRPr="00483EBC" w:rsidRDefault="00483EBC" w:rsidP="00483EBC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</w:pPr>
      <w:r w:rsidRPr="00483EB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  <w:lastRenderedPageBreak/>
        <w:t>What is the median number of days where a patient can be expected to survive if they are on the standard vs the test treatment?</w:t>
      </w:r>
    </w:p>
    <w:p w14:paraId="6C4F747D" w14:textId="5F9913F6" w:rsidR="00483EBC" w:rsidRDefault="00483EBC" w:rsidP="00483EB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03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Treatment group Standard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8E29B2">
        <w:rPr>
          <w:rFonts w:ascii="Times New Roman" w:hAnsi="Times New Roman" w:cs="Times New Roman"/>
          <w:sz w:val="24"/>
          <w:szCs w:val="24"/>
          <w:shd w:val="clear" w:color="auto" w:fill="FFFFFF"/>
        </w:rPr>
        <w:t>The median number of days that a patient will survive is 100 days (probability of 50.20% from the KM output)</w:t>
      </w:r>
    </w:p>
    <w:p w14:paraId="43FB5C41" w14:textId="589EAC47" w:rsidR="00F95256" w:rsidRPr="004074DA" w:rsidRDefault="00483EBC" w:rsidP="004074DA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03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Treatment group Test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8E2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median number of days that a patient will survive is 50 days (probability of 50% from the KM output)</w:t>
      </w:r>
    </w:p>
    <w:p w14:paraId="6CD15D1A" w14:textId="6C2125AD" w:rsidR="008E29B2" w:rsidRDefault="008E29B2" w:rsidP="008E29B2">
      <w:pPr>
        <w:spacing w:line="240" w:lineRule="auto"/>
        <w:ind w:firstLine="720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</w:pPr>
      <w:r w:rsidRPr="008E29B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  <w:t>2. Create three semi-parametric and parametric models to estimate the marginal effects of relevant predictors on survival outcomes. Interpret the precise effects of standard vs test treatment and other model predictors.</w:t>
      </w:r>
      <w:r w:rsidRPr="008E29B2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  <w:tab/>
      </w:r>
    </w:p>
    <w:p w14:paraId="4EAF56A2" w14:textId="3FE55980" w:rsidR="00F6117D" w:rsidRPr="00F6117D" w:rsidRDefault="00F6117D" w:rsidP="00F6117D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11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Interpretation for exponential and Weibull models is </w:t>
      </w:r>
      <w:r w:rsidR="003D66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F6117D">
        <w:rPr>
          <w:rFonts w:ascii="Times New Roman" w:hAnsi="Times New Roman" w:cs="Times New Roman"/>
          <w:sz w:val="24"/>
          <w:szCs w:val="24"/>
          <w:shd w:val="clear" w:color="auto" w:fill="FFFFFF"/>
        </w:rPr>
        <w:t>same as the coefficient values are similar.</w:t>
      </w:r>
    </w:p>
    <w:tbl>
      <w:tblPr>
        <w:tblStyle w:val="TableGrid"/>
        <w:tblW w:w="10836" w:type="dxa"/>
        <w:tblLook w:val="04A0" w:firstRow="1" w:lastRow="0" w:firstColumn="1" w:lastColumn="0" w:noHBand="0" w:noVBand="1"/>
      </w:tblPr>
      <w:tblGrid>
        <w:gridCol w:w="3127"/>
        <w:gridCol w:w="4096"/>
        <w:gridCol w:w="3613"/>
      </w:tblGrid>
      <w:tr w:rsidR="00E254F5" w14:paraId="1A2EAEE4" w14:textId="77777777" w:rsidTr="00E254F5">
        <w:trPr>
          <w:trHeight w:val="430"/>
        </w:trPr>
        <w:tc>
          <w:tcPr>
            <w:tcW w:w="3127" w:type="dxa"/>
          </w:tcPr>
          <w:p w14:paraId="0F24E0B8" w14:textId="67366098" w:rsidR="00E254F5" w:rsidRPr="00F6117D" w:rsidRDefault="00E254F5" w:rsidP="00CE3C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Predictor</w:t>
            </w:r>
          </w:p>
        </w:tc>
        <w:tc>
          <w:tcPr>
            <w:tcW w:w="4096" w:type="dxa"/>
          </w:tcPr>
          <w:p w14:paraId="14CDB383" w14:textId="2D6A4854" w:rsidR="00E254F5" w:rsidRPr="00F6117D" w:rsidRDefault="00E254F5" w:rsidP="00CE3C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F6117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  <w:t>CoxPH</w:t>
            </w:r>
            <w:proofErr w:type="spellEnd"/>
          </w:p>
        </w:tc>
        <w:tc>
          <w:tcPr>
            <w:tcW w:w="3613" w:type="dxa"/>
          </w:tcPr>
          <w:p w14:paraId="326C52B3" w14:textId="5A7F9918" w:rsidR="00E254F5" w:rsidRPr="00F6117D" w:rsidRDefault="00E254F5" w:rsidP="00CE3CD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  <w:t xml:space="preserve">Exponential </w:t>
            </w:r>
            <w:r w:rsidR="00F6117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  <w:t>and</w:t>
            </w:r>
            <w:r w:rsidRPr="00F6117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shd w:val="clear" w:color="auto" w:fill="FFFFFF"/>
              </w:rPr>
              <w:t xml:space="preserve"> Weibull</w:t>
            </w:r>
          </w:p>
        </w:tc>
      </w:tr>
      <w:tr w:rsidR="00E254F5" w14:paraId="42591179" w14:textId="77777777" w:rsidTr="00E254F5">
        <w:trPr>
          <w:trHeight w:val="1291"/>
        </w:trPr>
        <w:tc>
          <w:tcPr>
            <w:tcW w:w="3127" w:type="dxa"/>
          </w:tcPr>
          <w:p w14:paraId="0BF82697" w14:textId="24BC3B10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Treatment_type</w:t>
            </w:r>
            <w:proofErr w:type="spellEnd"/>
          </w:p>
        </w:tc>
        <w:tc>
          <w:tcPr>
            <w:tcW w:w="4096" w:type="dxa"/>
          </w:tcPr>
          <w:p w14:paraId="49ED31F4" w14:textId="765B121B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Test treatment type increases the chance of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person dying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by 35.4%</w:t>
            </w:r>
          </w:p>
        </w:tc>
        <w:tc>
          <w:tcPr>
            <w:tcW w:w="3613" w:type="dxa"/>
          </w:tcPr>
          <w:p w14:paraId="2BA23D96" w14:textId="706B1F1F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Test treatment type decreases the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survival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rate by 24.8%</w:t>
            </w:r>
          </w:p>
        </w:tc>
      </w:tr>
      <w:tr w:rsidR="00E254F5" w14:paraId="3F2C06B2" w14:textId="77777777" w:rsidTr="00E254F5">
        <w:trPr>
          <w:trHeight w:val="1272"/>
        </w:trPr>
        <w:tc>
          <w:tcPr>
            <w:tcW w:w="3127" w:type="dxa"/>
          </w:tcPr>
          <w:p w14:paraId="6E002679" w14:textId="67A2915B" w:rsidR="00E254F5" w:rsidRPr="00F6117D" w:rsidRDefault="00F6117D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r w:rsidR="00E254F5"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</w:t>
            </w:r>
          </w:p>
        </w:tc>
        <w:tc>
          <w:tcPr>
            <w:tcW w:w="4096" w:type="dxa"/>
          </w:tcPr>
          <w:p w14:paraId="16D0CFCB" w14:textId="2F793EDC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If age increases by 1 year the chance of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death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decreases by 0.7%</w:t>
            </w:r>
          </w:p>
        </w:tc>
        <w:tc>
          <w:tcPr>
            <w:tcW w:w="3613" w:type="dxa"/>
          </w:tcPr>
          <w:p w14:paraId="63C05E82" w14:textId="6065379C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Each additional year in age increases the </w:t>
            </w:r>
            <w:r w:rsidR="00766A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survival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rate by 0.3%</w:t>
            </w:r>
          </w:p>
        </w:tc>
      </w:tr>
      <w:tr w:rsidR="00E254F5" w14:paraId="35A70A36" w14:textId="77777777" w:rsidTr="00E254F5">
        <w:trPr>
          <w:trHeight w:val="861"/>
        </w:trPr>
        <w:tc>
          <w:tcPr>
            <w:tcW w:w="3127" w:type="dxa"/>
          </w:tcPr>
          <w:p w14:paraId="1709BFF8" w14:textId="489345ED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Cell_type</w:t>
            </w:r>
            <w:proofErr w:type="spellEnd"/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small_cell</w:t>
            </w:r>
            <w:proofErr w:type="spellEnd"/>
          </w:p>
        </w:tc>
        <w:tc>
          <w:tcPr>
            <w:tcW w:w="4096" w:type="dxa"/>
          </w:tcPr>
          <w:p w14:paraId="6C1656BF" w14:textId="6A2A3255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Small cell type increases the chance of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death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by 48%</w:t>
            </w:r>
          </w:p>
        </w:tc>
        <w:tc>
          <w:tcPr>
            <w:tcW w:w="3613" w:type="dxa"/>
          </w:tcPr>
          <w:p w14:paraId="300ACC6F" w14:textId="05EF4924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Small cell type decreases the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survival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rate by 40.8%</w:t>
            </w:r>
          </w:p>
        </w:tc>
      </w:tr>
      <w:tr w:rsidR="00E254F5" w14:paraId="70DCA494" w14:textId="77777777" w:rsidTr="00E254F5">
        <w:trPr>
          <w:trHeight w:val="1722"/>
        </w:trPr>
        <w:tc>
          <w:tcPr>
            <w:tcW w:w="3127" w:type="dxa"/>
          </w:tcPr>
          <w:p w14:paraId="643F9CE5" w14:textId="699D25FA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Karnofsky_score</w:t>
            </w:r>
            <w:proofErr w:type="spellEnd"/>
          </w:p>
        </w:tc>
        <w:tc>
          <w:tcPr>
            <w:tcW w:w="4096" w:type="dxa"/>
          </w:tcPr>
          <w:p w14:paraId="7772F0E1" w14:textId="4B4C8065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If the score increases by 1 number chance of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death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decrease by 3.3%</w:t>
            </w:r>
          </w:p>
        </w:tc>
        <w:tc>
          <w:tcPr>
            <w:tcW w:w="3613" w:type="dxa"/>
          </w:tcPr>
          <w:p w14:paraId="0F8FD2F7" w14:textId="1C820E47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If the </w:t>
            </w:r>
            <w:proofErr w:type="spellStart"/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karnofsky</w:t>
            </w:r>
            <w:proofErr w:type="spellEnd"/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score increases by 1 then </w:t>
            </w:r>
            <w:r w:rsidR="003D668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survival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rate would increase by 3.3%</w:t>
            </w:r>
          </w:p>
        </w:tc>
      </w:tr>
      <w:tr w:rsidR="00E254F5" w14:paraId="000D8111" w14:textId="77777777" w:rsidTr="00E254F5">
        <w:trPr>
          <w:trHeight w:val="1291"/>
        </w:trPr>
        <w:tc>
          <w:tcPr>
            <w:tcW w:w="3127" w:type="dxa"/>
          </w:tcPr>
          <w:p w14:paraId="5BA2BC6C" w14:textId="7C4A4471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Prior chemo Yes</w:t>
            </w:r>
          </w:p>
        </w:tc>
        <w:tc>
          <w:tcPr>
            <w:tcW w:w="4096" w:type="dxa"/>
          </w:tcPr>
          <w:p w14:paraId="0D23626A" w14:textId="15F66806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Treatment with prior chemo decreases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death rate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by 4.5%</w:t>
            </w:r>
          </w:p>
        </w:tc>
        <w:tc>
          <w:tcPr>
            <w:tcW w:w="3613" w:type="dxa"/>
          </w:tcPr>
          <w:p w14:paraId="2183348E" w14:textId="471C6CB0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Prior chemotherapy treatment would increase the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survival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rate by 8.3%</w:t>
            </w:r>
          </w:p>
        </w:tc>
      </w:tr>
      <w:tr w:rsidR="00E254F5" w14:paraId="1030F5E3" w14:textId="77777777" w:rsidTr="00E254F5">
        <w:trPr>
          <w:trHeight w:val="1722"/>
        </w:trPr>
        <w:tc>
          <w:tcPr>
            <w:tcW w:w="3127" w:type="dxa"/>
          </w:tcPr>
          <w:p w14:paraId="38503D5C" w14:textId="39F39D93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Months from Diagnosis</w:t>
            </w:r>
          </w:p>
        </w:tc>
        <w:tc>
          <w:tcPr>
            <w:tcW w:w="4096" w:type="dxa"/>
          </w:tcPr>
          <w:p w14:paraId="794EC25E" w14:textId="52305490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If the month from diagnosis increases by 1 then the chance of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death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decreases by 0.2%</w:t>
            </w:r>
          </w:p>
        </w:tc>
        <w:tc>
          <w:tcPr>
            <w:tcW w:w="3613" w:type="dxa"/>
          </w:tcPr>
          <w:p w14:paraId="5D838915" w14:textId="1EA45E14" w:rsidR="00E254F5" w:rsidRPr="00F6117D" w:rsidRDefault="00E254F5" w:rsidP="008E29B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If the month from diagnosis increases by 1 then the chance of </w:t>
            </w:r>
            <w:r w:rsidR="005F24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survival</w:t>
            </w:r>
            <w:r w:rsidRPr="00F611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decreases by 0.01%</w:t>
            </w:r>
          </w:p>
        </w:tc>
      </w:tr>
    </w:tbl>
    <w:p w14:paraId="2D1087B0" w14:textId="3851F001" w:rsidR="00483EBC" w:rsidRDefault="00483EBC" w:rsidP="00483EBC">
      <w:pPr>
        <w:spacing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</w:pPr>
    </w:p>
    <w:p w14:paraId="2A7FCBB1" w14:textId="77777777" w:rsidR="00483EBC" w:rsidRPr="00483EBC" w:rsidRDefault="00483EBC" w:rsidP="00483EBC">
      <w:pPr>
        <w:spacing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</w:pPr>
    </w:p>
    <w:p w14:paraId="1EA1545E" w14:textId="3C270FA7" w:rsidR="00753117" w:rsidRPr="009E3E9D" w:rsidRDefault="00753117" w:rsidP="009E3E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sectPr w:rsidR="00753117" w:rsidRPr="009E3E9D" w:rsidSect="00676F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C79"/>
    <w:multiLevelType w:val="multilevel"/>
    <w:tmpl w:val="7CA4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65F"/>
    <w:multiLevelType w:val="hybridMultilevel"/>
    <w:tmpl w:val="0426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704C"/>
    <w:multiLevelType w:val="multilevel"/>
    <w:tmpl w:val="E438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30A3C"/>
    <w:multiLevelType w:val="hybridMultilevel"/>
    <w:tmpl w:val="AA70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4C97"/>
    <w:multiLevelType w:val="hybridMultilevel"/>
    <w:tmpl w:val="C3AC3DE0"/>
    <w:lvl w:ilvl="0" w:tplc="2F484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33"/>
    <w:multiLevelType w:val="multilevel"/>
    <w:tmpl w:val="304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14F72"/>
    <w:multiLevelType w:val="hybridMultilevel"/>
    <w:tmpl w:val="FB6CFCE4"/>
    <w:lvl w:ilvl="0" w:tplc="418C04C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1437"/>
    <w:multiLevelType w:val="multilevel"/>
    <w:tmpl w:val="564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07778"/>
    <w:multiLevelType w:val="hybridMultilevel"/>
    <w:tmpl w:val="F418E754"/>
    <w:lvl w:ilvl="0" w:tplc="826AB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061C5"/>
    <w:multiLevelType w:val="hybridMultilevel"/>
    <w:tmpl w:val="26FA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701CE"/>
    <w:multiLevelType w:val="hybridMultilevel"/>
    <w:tmpl w:val="2962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734FB"/>
    <w:multiLevelType w:val="hybridMultilevel"/>
    <w:tmpl w:val="2C3C4674"/>
    <w:lvl w:ilvl="0" w:tplc="06CAF1F0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45931"/>
    <w:multiLevelType w:val="hybridMultilevel"/>
    <w:tmpl w:val="CB52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14403"/>
    <w:multiLevelType w:val="hybridMultilevel"/>
    <w:tmpl w:val="454860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25D46"/>
    <w:multiLevelType w:val="hybridMultilevel"/>
    <w:tmpl w:val="AEEE9460"/>
    <w:lvl w:ilvl="0" w:tplc="019E8174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B7ADA"/>
    <w:multiLevelType w:val="multilevel"/>
    <w:tmpl w:val="AE20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F178E"/>
    <w:multiLevelType w:val="hybridMultilevel"/>
    <w:tmpl w:val="5B22A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21D96"/>
    <w:multiLevelType w:val="multilevel"/>
    <w:tmpl w:val="80A6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D1B40"/>
    <w:multiLevelType w:val="hybridMultilevel"/>
    <w:tmpl w:val="AE12562A"/>
    <w:lvl w:ilvl="0" w:tplc="834A3B84">
      <w:start w:val="3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C6548"/>
    <w:multiLevelType w:val="multilevel"/>
    <w:tmpl w:val="9554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E134B"/>
    <w:multiLevelType w:val="hybridMultilevel"/>
    <w:tmpl w:val="AA70F4D4"/>
    <w:lvl w:ilvl="0" w:tplc="2E4A52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56257"/>
    <w:multiLevelType w:val="multilevel"/>
    <w:tmpl w:val="CAB0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22722"/>
    <w:multiLevelType w:val="hybridMultilevel"/>
    <w:tmpl w:val="7A9654D2"/>
    <w:lvl w:ilvl="0" w:tplc="607A8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997397">
    <w:abstractNumId w:val="20"/>
  </w:num>
  <w:num w:numId="2" w16cid:durableId="395737038">
    <w:abstractNumId w:val="15"/>
  </w:num>
  <w:num w:numId="3" w16cid:durableId="1966887472">
    <w:abstractNumId w:val="18"/>
  </w:num>
  <w:num w:numId="4" w16cid:durableId="1803880794">
    <w:abstractNumId w:val="11"/>
  </w:num>
  <w:num w:numId="5" w16cid:durableId="1561405610">
    <w:abstractNumId w:val="3"/>
  </w:num>
  <w:num w:numId="6" w16cid:durableId="140579690">
    <w:abstractNumId w:val="6"/>
  </w:num>
  <w:num w:numId="7" w16cid:durableId="1608461297">
    <w:abstractNumId w:val="14"/>
  </w:num>
  <w:num w:numId="8" w16cid:durableId="1078357534">
    <w:abstractNumId w:val="8"/>
  </w:num>
  <w:num w:numId="9" w16cid:durableId="1614745531">
    <w:abstractNumId w:val="21"/>
  </w:num>
  <w:num w:numId="10" w16cid:durableId="1032150813">
    <w:abstractNumId w:val="22"/>
  </w:num>
  <w:num w:numId="11" w16cid:durableId="1340306786">
    <w:abstractNumId w:val="4"/>
  </w:num>
  <w:num w:numId="12" w16cid:durableId="140316930">
    <w:abstractNumId w:val="5"/>
  </w:num>
  <w:num w:numId="13" w16cid:durableId="110252618">
    <w:abstractNumId w:val="9"/>
  </w:num>
  <w:num w:numId="14" w16cid:durableId="1102917770">
    <w:abstractNumId w:val="7"/>
  </w:num>
  <w:num w:numId="15" w16cid:durableId="278218215">
    <w:abstractNumId w:val="12"/>
  </w:num>
  <w:num w:numId="16" w16cid:durableId="2035500270">
    <w:abstractNumId w:val="2"/>
  </w:num>
  <w:num w:numId="17" w16cid:durableId="53435068">
    <w:abstractNumId w:val="19"/>
  </w:num>
  <w:num w:numId="18" w16cid:durableId="530650516">
    <w:abstractNumId w:val="10"/>
  </w:num>
  <w:num w:numId="19" w16cid:durableId="951397662">
    <w:abstractNumId w:val="13"/>
  </w:num>
  <w:num w:numId="20" w16cid:durableId="374962252">
    <w:abstractNumId w:val="17"/>
  </w:num>
  <w:num w:numId="21" w16cid:durableId="1404721635">
    <w:abstractNumId w:val="16"/>
  </w:num>
  <w:num w:numId="22" w16cid:durableId="1276518171">
    <w:abstractNumId w:val="0"/>
  </w:num>
  <w:num w:numId="23" w16cid:durableId="112978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5D"/>
    <w:rsid w:val="00000B38"/>
    <w:rsid w:val="0000275C"/>
    <w:rsid w:val="00006018"/>
    <w:rsid w:val="00010AFA"/>
    <w:rsid w:val="00021346"/>
    <w:rsid w:val="00056758"/>
    <w:rsid w:val="00062656"/>
    <w:rsid w:val="000731C4"/>
    <w:rsid w:val="000862C1"/>
    <w:rsid w:val="00087D75"/>
    <w:rsid w:val="0009035F"/>
    <w:rsid w:val="000A0360"/>
    <w:rsid w:val="000A4AEB"/>
    <w:rsid w:val="000B675E"/>
    <w:rsid w:val="000C2F35"/>
    <w:rsid w:val="000D0693"/>
    <w:rsid w:val="000E0224"/>
    <w:rsid w:val="000E2633"/>
    <w:rsid w:val="000F0C40"/>
    <w:rsid w:val="000F32CB"/>
    <w:rsid w:val="000F4F5A"/>
    <w:rsid w:val="000F6ED5"/>
    <w:rsid w:val="000F7B62"/>
    <w:rsid w:val="001017F2"/>
    <w:rsid w:val="00102722"/>
    <w:rsid w:val="00106B49"/>
    <w:rsid w:val="00114D6C"/>
    <w:rsid w:val="00116677"/>
    <w:rsid w:val="0012154D"/>
    <w:rsid w:val="0012539A"/>
    <w:rsid w:val="0012580F"/>
    <w:rsid w:val="00135F2F"/>
    <w:rsid w:val="001409FE"/>
    <w:rsid w:val="00161114"/>
    <w:rsid w:val="0016148E"/>
    <w:rsid w:val="00173764"/>
    <w:rsid w:val="00196567"/>
    <w:rsid w:val="001A465D"/>
    <w:rsid w:val="001C118E"/>
    <w:rsid w:val="001C2A16"/>
    <w:rsid w:val="001C4A16"/>
    <w:rsid w:val="001D5B9E"/>
    <w:rsid w:val="001E203E"/>
    <w:rsid w:val="001F5636"/>
    <w:rsid w:val="002078AE"/>
    <w:rsid w:val="00212BE8"/>
    <w:rsid w:val="0021398F"/>
    <w:rsid w:val="002237B4"/>
    <w:rsid w:val="002424D3"/>
    <w:rsid w:val="002502F8"/>
    <w:rsid w:val="00260EAA"/>
    <w:rsid w:val="00262661"/>
    <w:rsid w:val="00274B03"/>
    <w:rsid w:val="00282407"/>
    <w:rsid w:val="0028347B"/>
    <w:rsid w:val="00291BC0"/>
    <w:rsid w:val="002A2870"/>
    <w:rsid w:val="002A4F13"/>
    <w:rsid w:val="002A5C85"/>
    <w:rsid w:val="002B302A"/>
    <w:rsid w:val="002B5693"/>
    <w:rsid w:val="002D2EAB"/>
    <w:rsid w:val="002E08E8"/>
    <w:rsid w:val="002E30EA"/>
    <w:rsid w:val="002E72D3"/>
    <w:rsid w:val="002F134A"/>
    <w:rsid w:val="002F3B85"/>
    <w:rsid w:val="00307494"/>
    <w:rsid w:val="003147A5"/>
    <w:rsid w:val="003152E6"/>
    <w:rsid w:val="003345E6"/>
    <w:rsid w:val="00335574"/>
    <w:rsid w:val="00336A82"/>
    <w:rsid w:val="00345AA0"/>
    <w:rsid w:val="00357061"/>
    <w:rsid w:val="0036316E"/>
    <w:rsid w:val="00366D34"/>
    <w:rsid w:val="0036784F"/>
    <w:rsid w:val="00373627"/>
    <w:rsid w:val="00373BAC"/>
    <w:rsid w:val="00390874"/>
    <w:rsid w:val="0039111A"/>
    <w:rsid w:val="00393175"/>
    <w:rsid w:val="003977ED"/>
    <w:rsid w:val="003A0937"/>
    <w:rsid w:val="003A1C6B"/>
    <w:rsid w:val="003A3307"/>
    <w:rsid w:val="003B686C"/>
    <w:rsid w:val="003C259A"/>
    <w:rsid w:val="003D6682"/>
    <w:rsid w:val="003E02C7"/>
    <w:rsid w:val="0040730B"/>
    <w:rsid w:val="004074DA"/>
    <w:rsid w:val="00416629"/>
    <w:rsid w:val="00420254"/>
    <w:rsid w:val="00425486"/>
    <w:rsid w:val="00440336"/>
    <w:rsid w:val="0046005D"/>
    <w:rsid w:val="0046514B"/>
    <w:rsid w:val="004727C2"/>
    <w:rsid w:val="004778CE"/>
    <w:rsid w:val="004816D9"/>
    <w:rsid w:val="00483EBC"/>
    <w:rsid w:val="00490D2F"/>
    <w:rsid w:val="004A1C48"/>
    <w:rsid w:val="004A6FBB"/>
    <w:rsid w:val="004A73D6"/>
    <w:rsid w:val="004B54F0"/>
    <w:rsid w:val="004D19DE"/>
    <w:rsid w:val="004D1F73"/>
    <w:rsid w:val="004D6EF2"/>
    <w:rsid w:val="004F3E38"/>
    <w:rsid w:val="00503B50"/>
    <w:rsid w:val="00517281"/>
    <w:rsid w:val="00522BD1"/>
    <w:rsid w:val="0053644D"/>
    <w:rsid w:val="005442C3"/>
    <w:rsid w:val="005674CF"/>
    <w:rsid w:val="0057536B"/>
    <w:rsid w:val="0058496D"/>
    <w:rsid w:val="00594489"/>
    <w:rsid w:val="005A4975"/>
    <w:rsid w:val="005B145C"/>
    <w:rsid w:val="005B6050"/>
    <w:rsid w:val="005C05F5"/>
    <w:rsid w:val="005C7319"/>
    <w:rsid w:val="005D621A"/>
    <w:rsid w:val="005F0C50"/>
    <w:rsid w:val="005F2267"/>
    <w:rsid w:val="005F2457"/>
    <w:rsid w:val="00602426"/>
    <w:rsid w:val="00604F01"/>
    <w:rsid w:val="006051FB"/>
    <w:rsid w:val="00615080"/>
    <w:rsid w:val="00620CBC"/>
    <w:rsid w:val="00622C4F"/>
    <w:rsid w:val="00630F5B"/>
    <w:rsid w:val="00637759"/>
    <w:rsid w:val="00640EE0"/>
    <w:rsid w:val="00647DE8"/>
    <w:rsid w:val="006536F5"/>
    <w:rsid w:val="00654F3C"/>
    <w:rsid w:val="00661325"/>
    <w:rsid w:val="0067195B"/>
    <w:rsid w:val="00676F4E"/>
    <w:rsid w:val="0068412B"/>
    <w:rsid w:val="006A27E3"/>
    <w:rsid w:val="006A5BF2"/>
    <w:rsid w:val="006C6AD4"/>
    <w:rsid w:val="006D1E1B"/>
    <w:rsid w:val="006D478F"/>
    <w:rsid w:val="006E4179"/>
    <w:rsid w:val="007106F5"/>
    <w:rsid w:val="00713439"/>
    <w:rsid w:val="00717897"/>
    <w:rsid w:val="007271AD"/>
    <w:rsid w:val="0073118D"/>
    <w:rsid w:val="00745E10"/>
    <w:rsid w:val="00752128"/>
    <w:rsid w:val="00753117"/>
    <w:rsid w:val="0076630C"/>
    <w:rsid w:val="00766A3F"/>
    <w:rsid w:val="00772CB9"/>
    <w:rsid w:val="0077729C"/>
    <w:rsid w:val="00777F46"/>
    <w:rsid w:val="007827EE"/>
    <w:rsid w:val="007845BE"/>
    <w:rsid w:val="0079785D"/>
    <w:rsid w:val="007A0B1A"/>
    <w:rsid w:val="007A530C"/>
    <w:rsid w:val="007B4D50"/>
    <w:rsid w:val="007B4E4B"/>
    <w:rsid w:val="007C3F75"/>
    <w:rsid w:val="007D1330"/>
    <w:rsid w:val="00804409"/>
    <w:rsid w:val="008100FE"/>
    <w:rsid w:val="008137FF"/>
    <w:rsid w:val="00817EBA"/>
    <w:rsid w:val="00822F91"/>
    <w:rsid w:val="0082302B"/>
    <w:rsid w:val="00835D64"/>
    <w:rsid w:val="00840FF4"/>
    <w:rsid w:val="008501D2"/>
    <w:rsid w:val="00866227"/>
    <w:rsid w:val="00867F38"/>
    <w:rsid w:val="0087335F"/>
    <w:rsid w:val="00875C5D"/>
    <w:rsid w:val="008859DD"/>
    <w:rsid w:val="00887186"/>
    <w:rsid w:val="00896F04"/>
    <w:rsid w:val="008A01E6"/>
    <w:rsid w:val="008A28EF"/>
    <w:rsid w:val="008B0BC6"/>
    <w:rsid w:val="008B5D7B"/>
    <w:rsid w:val="008C4024"/>
    <w:rsid w:val="008C48D4"/>
    <w:rsid w:val="008C7228"/>
    <w:rsid w:val="008C7DB9"/>
    <w:rsid w:val="008E29B2"/>
    <w:rsid w:val="00901508"/>
    <w:rsid w:val="00907D77"/>
    <w:rsid w:val="009149A6"/>
    <w:rsid w:val="009249A1"/>
    <w:rsid w:val="0092510C"/>
    <w:rsid w:val="00951318"/>
    <w:rsid w:val="00951F7B"/>
    <w:rsid w:val="00960108"/>
    <w:rsid w:val="00967A27"/>
    <w:rsid w:val="00973DBA"/>
    <w:rsid w:val="00990CC0"/>
    <w:rsid w:val="00991FC1"/>
    <w:rsid w:val="009955B1"/>
    <w:rsid w:val="00997399"/>
    <w:rsid w:val="009A2F78"/>
    <w:rsid w:val="009A40E2"/>
    <w:rsid w:val="009A6C1B"/>
    <w:rsid w:val="009A6F8F"/>
    <w:rsid w:val="009B4DFB"/>
    <w:rsid w:val="009B5B45"/>
    <w:rsid w:val="009C6384"/>
    <w:rsid w:val="009D690D"/>
    <w:rsid w:val="009D78C1"/>
    <w:rsid w:val="009E161F"/>
    <w:rsid w:val="009E3E9D"/>
    <w:rsid w:val="009F2B4B"/>
    <w:rsid w:val="009F51D8"/>
    <w:rsid w:val="00A03D38"/>
    <w:rsid w:val="00A2002D"/>
    <w:rsid w:val="00A30649"/>
    <w:rsid w:val="00A36856"/>
    <w:rsid w:val="00A40556"/>
    <w:rsid w:val="00A42AD0"/>
    <w:rsid w:val="00A5396D"/>
    <w:rsid w:val="00A540CA"/>
    <w:rsid w:val="00A57D31"/>
    <w:rsid w:val="00A63B84"/>
    <w:rsid w:val="00A66FE9"/>
    <w:rsid w:val="00A8044D"/>
    <w:rsid w:val="00A93735"/>
    <w:rsid w:val="00A94C54"/>
    <w:rsid w:val="00A96C2E"/>
    <w:rsid w:val="00AA37EB"/>
    <w:rsid w:val="00AA6BF0"/>
    <w:rsid w:val="00AA7C42"/>
    <w:rsid w:val="00AC05D2"/>
    <w:rsid w:val="00AC23FE"/>
    <w:rsid w:val="00AC25A8"/>
    <w:rsid w:val="00AC2DEA"/>
    <w:rsid w:val="00AD0A51"/>
    <w:rsid w:val="00AE2D9F"/>
    <w:rsid w:val="00AE7661"/>
    <w:rsid w:val="00B023F9"/>
    <w:rsid w:val="00B076C8"/>
    <w:rsid w:val="00B107BE"/>
    <w:rsid w:val="00B12774"/>
    <w:rsid w:val="00B12EB0"/>
    <w:rsid w:val="00B13BF1"/>
    <w:rsid w:val="00B20C4A"/>
    <w:rsid w:val="00B210E1"/>
    <w:rsid w:val="00B443DE"/>
    <w:rsid w:val="00B52F3C"/>
    <w:rsid w:val="00B61229"/>
    <w:rsid w:val="00B633A6"/>
    <w:rsid w:val="00B641FA"/>
    <w:rsid w:val="00B64F5B"/>
    <w:rsid w:val="00B71740"/>
    <w:rsid w:val="00B77377"/>
    <w:rsid w:val="00B80A62"/>
    <w:rsid w:val="00B82B0B"/>
    <w:rsid w:val="00B877FC"/>
    <w:rsid w:val="00BA3709"/>
    <w:rsid w:val="00BA3800"/>
    <w:rsid w:val="00BB5D76"/>
    <w:rsid w:val="00BB628C"/>
    <w:rsid w:val="00BC4BB4"/>
    <w:rsid w:val="00BD6C39"/>
    <w:rsid w:val="00BE12E3"/>
    <w:rsid w:val="00BE5A06"/>
    <w:rsid w:val="00BE63D1"/>
    <w:rsid w:val="00BF754F"/>
    <w:rsid w:val="00C02D3B"/>
    <w:rsid w:val="00C17632"/>
    <w:rsid w:val="00C21C89"/>
    <w:rsid w:val="00C270DA"/>
    <w:rsid w:val="00C2726A"/>
    <w:rsid w:val="00C31463"/>
    <w:rsid w:val="00C32C1B"/>
    <w:rsid w:val="00C503AA"/>
    <w:rsid w:val="00C51F6B"/>
    <w:rsid w:val="00C52B4F"/>
    <w:rsid w:val="00C5563E"/>
    <w:rsid w:val="00C71F1F"/>
    <w:rsid w:val="00C72681"/>
    <w:rsid w:val="00C86A3A"/>
    <w:rsid w:val="00C90561"/>
    <w:rsid w:val="00C96845"/>
    <w:rsid w:val="00CA5EEB"/>
    <w:rsid w:val="00CB3D8A"/>
    <w:rsid w:val="00CB7A0B"/>
    <w:rsid w:val="00CC209B"/>
    <w:rsid w:val="00CE3CD9"/>
    <w:rsid w:val="00CF05B5"/>
    <w:rsid w:val="00CF0AF8"/>
    <w:rsid w:val="00CF1707"/>
    <w:rsid w:val="00D011D0"/>
    <w:rsid w:val="00D01E40"/>
    <w:rsid w:val="00D20EEC"/>
    <w:rsid w:val="00D26179"/>
    <w:rsid w:val="00D43F7E"/>
    <w:rsid w:val="00D52E91"/>
    <w:rsid w:val="00D60E55"/>
    <w:rsid w:val="00D63FF5"/>
    <w:rsid w:val="00D708B0"/>
    <w:rsid w:val="00D72DE7"/>
    <w:rsid w:val="00D80B3B"/>
    <w:rsid w:val="00D8307E"/>
    <w:rsid w:val="00D90344"/>
    <w:rsid w:val="00DA04BA"/>
    <w:rsid w:val="00DA193C"/>
    <w:rsid w:val="00DB57C3"/>
    <w:rsid w:val="00DB5C72"/>
    <w:rsid w:val="00DC507A"/>
    <w:rsid w:val="00DD1EA1"/>
    <w:rsid w:val="00DD2AEE"/>
    <w:rsid w:val="00DD373E"/>
    <w:rsid w:val="00DD6E57"/>
    <w:rsid w:val="00DE63EE"/>
    <w:rsid w:val="00DE6691"/>
    <w:rsid w:val="00DF0298"/>
    <w:rsid w:val="00E02C53"/>
    <w:rsid w:val="00E03FC2"/>
    <w:rsid w:val="00E07E07"/>
    <w:rsid w:val="00E254F5"/>
    <w:rsid w:val="00E25AE4"/>
    <w:rsid w:val="00E348C6"/>
    <w:rsid w:val="00E34F82"/>
    <w:rsid w:val="00E375D4"/>
    <w:rsid w:val="00E50DDE"/>
    <w:rsid w:val="00E76FBC"/>
    <w:rsid w:val="00E81E7F"/>
    <w:rsid w:val="00E824C6"/>
    <w:rsid w:val="00E919A0"/>
    <w:rsid w:val="00E91FDA"/>
    <w:rsid w:val="00E92F6D"/>
    <w:rsid w:val="00E96346"/>
    <w:rsid w:val="00EB3780"/>
    <w:rsid w:val="00EC6926"/>
    <w:rsid w:val="00ED7F57"/>
    <w:rsid w:val="00EF5359"/>
    <w:rsid w:val="00EF6A17"/>
    <w:rsid w:val="00F208A9"/>
    <w:rsid w:val="00F25121"/>
    <w:rsid w:val="00F2789F"/>
    <w:rsid w:val="00F43BC2"/>
    <w:rsid w:val="00F45337"/>
    <w:rsid w:val="00F525CF"/>
    <w:rsid w:val="00F546D0"/>
    <w:rsid w:val="00F6117D"/>
    <w:rsid w:val="00F95256"/>
    <w:rsid w:val="00F96CED"/>
    <w:rsid w:val="00FC6B4F"/>
    <w:rsid w:val="00FC76CC"/>
    <w:rsid w:val="00FD6582"/>
    <w:rsid w:val="00FE25FA"/>
    <w:rsid w:val="00FE4D54"/>
    <w:rsid w:val="00FE5231"/>
    <w:rsid w:val="00FE5574"/>
    <w:rsid w:val="00FE65A8"/>
    <w:rsid w:val="00FF07B6"/>
    <w:rsid w:val="00FF460A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595C"/>
  <w15:chartTrackingRefBased/>
  <w15:docId w15:val="{E51BFF34-0B8E-41CB-98EA-9E12F598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D3"/>
    <w:pPr>
      <w:ind w:left="720"/>
      <w:contextualSpacing/>
    </w:pPr>
  </w:style>
  <w:style w:type="table" w:styleId="TableGrid">
    <w:name w:val="Table Grid"/>
    <w:basedOn w:val="TableNormal"/>
    <w:uiPriority w:val="39"/>
    <w:rsid w:val="0024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EA555-68BC-48DA-B2A3-E269D9DD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Batchu</dc:creator>
  <cp:keywords/>
  <dc:description/>
  <cp:lastModifiedBy>Sai Kiran Batchu</cp:lastModifiedBy>
  <cp:revision>472</cp:revision>
  <dcterms:created xsi:type="dcterms:W3CDTF">2022-09-25T20:07:00Z</dcterms:created>
  <dcterms:modified xsi:type="dcterms:W3CDTF">2022-10-22T19:16:00Z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a9f4628d6428f22596e520c78aedc81e5f8438c6a5832eb2f01acefb5fb1f36c</vt:lpwstr>
  </property>
</Properties>
</file>