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Large Cities (3). Municipalities with a population exceeding 200 000 inhabitants.</w:t>
      </w:r>
    </w:p>
    <w:p>
      <w:pPr>
        <w:pStyle w:val="Normal"/>
        <w:rPr/>
      </w:pPr>
      <w:r>
        <w:rPr/>
        <w:t>2. Suburban Municipalities (38 pc). Municipalities where more than 50 percent of the population commutes to</w:t>
      </w:r>
    </w:p>
    <w:p>
      <w:pPr>
        <w:pStyle w:val="Normal"/>
        <w:rPr/>
      </w:pPr>
      <w:r>
        <w:rPr/>
        <w:t>    </w:t>
      </w:r>
      <w:r>
        <w:rPr/>
        <w:t>work in another municipality. The most common destination will be one of the big cities.</w:t>
      </w:r>
    </w:p>
    <w:p>
      <w:pPr>
        <w:pStyle w:val="Normal"/>
        <w:rPr/>
      </w:pPr>
      <w:r>
        <w:rPr/>
        <w:t>3. Large cities (27 pc). Municipalities with 50,000 to 200,000 inhabitants and a population density in excess</w:t>
      </w:r>
    </w:p>
    <w:p>
      <w:pPr>
        <w:pStyle w:val="Normal"/>
        <w:rPr/>
      </w:pPr>
      <w:r>
        <w:rPr/>
        <w:t>    </w:t>
      </w:r>
      <w:r>
        <w:rPr/>
        <w:t>70 percent.</w:t>
      </w:r>
    </w:p>
    <w:p>
      <w:pPr>
        <w:pStyle w:val="Normal"/>
        <w:rPr/>
      </w:pPr>
      <w:r>
        <w:rPr/>
        <w:t>4. Commuter municipalities (41 pc). Municipalities where more than 40 percent of the population commutes to</w:t>
      </w:r>
    </w:p>
    <w:p>
      <w:pPr>
        <w:pStyle w:val="Normal"/>
        <w:rPr/>
      </w:pPr>
      <w:r>
        <w:rPr/>
        <w:t>    </w:t>
      </w:r>
      <w:r>
        <w:rPr/>
        <w:t>work in another municipality.</w:t>
      </w:r>
    </w:p>
    <w:p>
      <w:pPr>
        <w:pStyle w:val="Normal"/>
        <w:rPr/>
      </w:pPr>
      <w:r>
        <w:rPr/>
        <w:t>5. Rural Municipalities (39 pc). Municipalities with less than 7 inhabitants per square kilometer and</w:t>
      </w:r>
    </w:p>
    <w:p>
      <w:pPr>
        <w:pStyle w:val="Normal"/>
        <w:rPr/>
      </w:pPr>
      <w:r>
        <w:rPr/>
        <w:t>    </w:t>
      </w:r>
      <w:r>
        <w:rPr/>
        <w:t>less than 20 000 inhabitants.</w:t>
      </w:r>
    </w:p>
    <w:p>
      <w:pPr>
        <w:pStyle w:val="Normal"/>
        <w:rPr/>
      </w:pPr>
      <w:r>
        <w:rPr/>
        <w:t>6. Manufacturing municipalities (40 pc). Municipalities with more than 40 per cent of the population</w:t>
      </w:r>
    </w:p>
    <w:p>
      <w:pPr>
        <w:pStyle w:val="Normal"/>
        <w:rPr/>
      </w:pPr>
      <w:r>
        <w:rPr/>
        <w:t>    </w:t>
      </w:r>
      <w:r>
        <w:rPr/>
        <w:t>between 16 and 64 employees in manufacturing and industrial operations.</w:t>
      </w:r>
    </w:p>
    <w:p>
      <w:pPr>
        <w:pStyle w:val="Normal"/>
        <w:rPr/>
      </w:pPr>
      <w:r>
        <w:rPr/>
        <w:t>7. Other municipalities, over 25 000 inhabitants (34 pc). Municipalities that do not belong to any of the previous</w:t>
      </w:r>
    </w:p>
    <w:p>
      <w:pPr>
        <w:pStyle w:val="Normal"/>
        <w:rPr/>
      </w:pPr>
      <w:r>
        <w:rPr/>
        <w:t>    </w:t>
      </w:r>
      <w:r>
        <w:rPr/>
        <w:t>groups and more than 25 000 inhabitants.</w:t>
      </w:r>
    </w:p>
    <w:p>
      <w:pPr>
        <w:pStyle w:val="Normal"/>
        <w:rPr/>
      </w:pPr>
      <w:r>
        <w:rPr/>
        <w:t>8. Other municipalities, 12,500 to 25,000 inhabitants (37 pc). Municipalities that do not belong to any of</w:t>
      </w:r>
    </w:p>
    <w:p>
      <w:pPr>
        <w:pStyle w:val="Normal"/>
        <w:rPr/>
      </w:pPr>
      <w:r>
        <w:rPr/>
        <w:t>    </w:t>
      </w:r>
      <w:r>
        <w:rPr/>
        <w:t>categories and has 12,500 to 25,000 residents.</w:t>
      </w:r>
    </w:p>
    <w:p>
      <w:pPr>
        <w:pStyle w:val="Normal"/>
        <w:rPr/>
      </w:pPr>
      <w:r>
        <w:rPr/>
        <w:t>9. Other municipalities, fewer than 12 500 inhabitants (31 pc). Municipalities that do not belong to any of</w:t>
      </w:r>
    </w:p>
    <w:p>
      <w:pPr>
        <w:pStyle w:val="Normal"/>
        <w:rPr/>
      </w:pPr>
      <w:r>
        <w:rPr/>
        <w:t>    </w:t>
      </w:r>
      <w:r>
        <w:rPr/>
        <w:t>the above groups and have less than 12 500 inhabitants.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variable, i.e. each column, the municipalities have been ranked according to the</w:t>
      </w:r>
    </w:p>
    <w:p>
      <w:pPr>
        <w:pStyle w:val="Normal"/>
        <w:rPr/>
      </w:pPr>
      <w:r>
        <w:rPr/>
        <w:t>particular variable. The top row shows the value for the municipality with the highest value</w:t>
      </w:r>
    </w:p>
    <w:p>
      <w:pPr>
        <w:pStyle w:val="Normal"/>
        <w:rPr/>
      </w:pPr>
      <w:r>
        <w:rPr/>
        <w:t>for that variable, ie maximum value. In the same way on the bottom line value of the</w:t>
      </w:r>
    </w:p>
    <w:p>
      <w:pPr>
        <w:pStyle w:val="Normal"/>
        <w:rPr/>
      </w:pPr>
      <w:r>
        <w:rPr/>
        <w:t>municipality that has the lowest value of the variable, that is, the minimum value. The percentages in the table</w:t>
      </w:r>
    </w:p>
    <w:p>
      <w:pPr>
        <w:pStyle w:val="Normal"/>
        <w:rPr/>
      </w:pPr>
      <w:r>
        <w:rPr/>
        <w:t>first column indicates the proportion of the municipalities with a value for the variable that is</w:t>
      </w:r>
    </w:p>
    <w:p>
      <w:pPr>
        <w:pStyle w:val="Normal"/>
        <w:rPr/>
      </w:pPr>
      <w:r>
        <w:rPr/>
        <w:t>lower than the value shown in the column for the variable.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Married including registered partners.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Different including separated partners.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Foreign-born and native-born with both parents born abroad.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2016-03-03T16:49:59Z</dcterms:created>
  <dc:language>en-US</dc:language>
  <cp:revision>0</cp:revision>
</cp:coreProperties>
</file>