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AuroraStay RAG: Technical Write-up</w:t>
      </w:r>
    </w:p>
    <w:p>
      <w:pPr/>
      <w:r>
        <w:t xml:space="preserve">Oct 11, 2026</w:t>
      </w:r>
      <w:r>
        <w:t xml:space="preserve"> · </w:t>
      </w:r>
      <w:r>
        <w:t xml:space="preserve">@Chandrakumar Kandasamy</w:t>
      </w:r>
    </w:p>
    <w:p>
      <w:pPr/>
      <w:r>
        <w:t xml:space="preserve">This write-up explains each step of the AuroraStay Hotels RAG proof of concept, in the order of the project rubric, and the reasoning behind every design choice in the notebook </w:t>
      </w:r>
      <w:r>
        <w:rPr>
          <w:rStyle w:val="CodeChar"/>
        </w:rPr>
        <w:t xml:space="preserve">AuroraStay_RAG_Full_Code.ipynb</w:t>
      </w:r>
      <w:r>
        <w:t xml:space="preserve">.</w:t>
      </w:r>
    </w:p>
    <w:p>
      <w:pPr>
        <w:pStyle w:val="Heading2"/>
      </w:pPr>
      <w:r>
        <w:t xml:space="preserve">1. Overview</w:t>
      </w:r>
    </w:p>
    <w:p>
      <w:pPr/>
      <w:r>
        <w:t xml:space="preserve">The system answers hotel staff questions from four policy PDFs, shows the source text beside each answer, and scores its own reliability. The POC asks one question: can the system answer a meaningful share of the 1,200 weekly guest queries without a manual lookup?</w:t>
      </w:r>
    </w:p>
    <w:p>
      <w:pPr/>
      <w:r>
        <w:rPr>
          <w:b/>
        </w:rPr>
        <w:t xml:space="preserve">Business problem.</w:t>
      </w:r>
      <w:r>
        <w:t xml:space="preserve"> AuroraStay runs 18 properties and adds 3 to 4 a year. Around 40% of queries need information from several documents. Answering those by hand takes 8 to 12 minutes and has a 15% to 20% error rate. Staff turnover of 45% a year keeps erasing the knowledge of where each policy lives.</w:t>
      </w:r>
    </w:p>
    <w:p>
      <w:pPr/>
      <w:r>
        <w:rPr>
          <w:b/>
        </w:rPr>
        <w:t xml:space="preserve">Approach.</w:t>
      </w:r>
      <w:r>
        <w:t xml:space="preserve"> Retrieval Augmented Generation (RAG): the policy documents are split into chunks and indexed as vectors. Each question retrieves the most similar chunks, and a language model writes an answer using only those chunks.</w:t>
      </w:r>
    </w:p>
    <w:p>
      <w:pPr/>
      <w:r>
        <w:rPr>
          <w:b/>
        </w:rPr>
        <w:t xml:space="preserve">Success criteria.</w:t>
      </w:r>
      <w:r>
        <w:t xml:space="preserve"> Each technical metric maps to a business risk.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Business risk</w:t>
            </w:r>
          </w:p>
        </w:tc>
        <w:tc>
          <w:tcPr>
            <w:tcW w:w="2340" w:type="dxa"/>
            <w:shd w:val="clear" w:color="auto" w:fill="F2F2F2"/>
          </w:tcPr>
          <w:p>
            <w:pPr/>
            <w:r>
              <w:t xml:space="preserve">Metric</w:t>
            </w:r>
          </w:p>
        </w:tc>
        <w:tc>
          <w:tcPr>
            <w:tcW w:w="2340" w:type="dxa"/>
            <w:shd w:val="clear" w:color="auto" w:fill="F2F2F2"/>
          </w:tcPr>
          <w:p>
            <w:pPr/>
            <w:r>
              <w:t xml:space="preserve">Threshold</w:t>
            </w:r>
          </w:p>
        </w:tc>
        <w:tc>
          <w:tcPr>
            <w:tcW w:w="2340" w:type="dxa"/>
            <w:shd w:val="clear" w:color="auto" w:fill="F2F2F2"/>
          </w:tcPr>
          <w:p>
            <w:pPr/>
            <w:r>
              <w:t xml:space="preserve">Composite weight</w:t>
            </w:r>
          </w:p>
        </w:tc>
      </w:tr>
      <w:tr>
        <w:tc>
          <w:tcPr>
            <w:tcW w:w="2340" w:type="dxa"/>
          </w:tcPr>
          <w:p>
            <w:pPr/>
            <w:r>
              <w:t xml:space="preserve">Unsupported information</w:t>
            </w:r>
          </w:p>
        </w:tc>
        <w:tc>
          <w:tcPr>
            <w:tcW w:w="2340" w:type="dxa"/>
          </w:tcPr>
          <w:p>
            <w:pPr/>
            <w:r>
              <w:t xml:space="preserve">Faithfulness</w:t>
            </w:r>
          </w:p>
        </w:tc>
        <w:tc>
          <w:tcPr>
            <w:tcW w:w="2340" w:type="dxa"/>
          </w:tcPr>
          <w:p>
            <w:pPr/>
            <w:r>
              <w:t xml:space="preserve">&gt;= 0.85</w:t>
            </w:r>
          </w:p>
        </w:tc>
        <w:tc>
          <w:tcPr>
            <w:tcW w:w="2340" w:type="dxa"/>
          </w:tcPr>
          <w:p>
            <w:pPr/>
            <w:r>
              <w:t xml:space="preserve">0.35</w:t>
            </w:r>
          </w:p>
        </w:tc>
      </w:tr>
      <w:tr>
        <w:tc>
          <w:tcPr>
            <w:tcW w:w="2340" w:type="dxa"/>
          </w:tcPr>
          <w:p>
            <w:pPr/>
            <w:r>
              <w:t xml:space="preserve">Incomplete retrieval</w:t>
            </w:r>
          </w:p>
        </w:tc>
        <w:tc>
          <w:tcPr>
            <w:tcW w:w="2340" w:type="dxa"/>
          </w:tcPr>
          <w:p>
            <w:pPr/>
            <w:r>
              <w:t xml:space="preserve">Contextual Recall</w:t>
            </w:r>
          </w:p>
        </w:tc>
        <w:tc>
          <w:tcPr>
            <w:tcW w:w="2340" w:type="dxa"/>
          </w:tcPr>
          <w:p>
            <w:pPr/>
            <w:r>
              <w:t xml:space="preserve">&gt;= 0.80</w:t>
            </w:r>
          </w:p>
        </w:tc>
        <w:tc>
          <w:tcPr>
            <w:tcW w:w="2340" w:type="dxa"/>
          </w:tcPr>
          <w:p>
            <w:pPr/>
            <w:r>
              <w:t xml:space="preserve">0.25</w:t>
            </w:r>
          </w:p>
        </w:tc>
      </w:tr>
      <w:tr>
        <w:tc>
          <w:tcPr>
            <w:tcW w:w="2340" w:type="dxa"/>
          </w:tcPr>
          <w:p>
            <w:pPr/>
            <w:r>
              <w:t xml:space="preserve">Irrelevant retrieval</w:t>
            </w:r>
          </w:p>
        </w:tc>
        <w:tc>
          <w:tcPr>
            <w:tcW w:w="2340" w:type="dxa"/>
          </w:tcPr>
          <w:p>
            <w:pPr/>
            <w:r>
              <w:t xml:space="preserve">Contextual Precision</w:t>
            </w:r>
          </w:p>
        </w:tc>
        <w:tc>
          <w:tcPr>
            <w:tcW w:w="2340" w:type="dxa"/>
          </w:tcPr>
          <w:p>
            <w:pPr/>
            <w:r>
              <w:t xml:space="preserve">&gt;= 0.75</w:t>
            </w:r>
          </w:p>
        </w:tc>
        <w:tc>
          <w:tcPr>
            <w:tcW w:w="2340" w:type="dxa"/>
          </w:tcPr>
          <w:p>
            <w:pPr/>
            <w:r>
              <w:t xml:space="preserve">0.20</w:t>
            </w:r>
          </w:p>
        </w:tc>
      </w:tr>
      <w:tr>
        <w:tc>
          <w:tcPr>
            <w:tcW w:w="2340" w:type="dxa"/>
          </w:tcPr>
          <w:p>
            <w:pPr/>
            <w:r>
              <w:t xml:space="preserve">Off-target answer</w:t>
            </w:r>
          </w:p>
        </w:tc>
        <w:tc>
          <w:tcPr>
            <w:tcW w:w="2340" w:type="dxa"/>
          </w:tcPr>
          <w:p>
            <w:pPr/>
            <w:r>
              <w:t xml:space="preserve">Answer Relevancy</w:t>
            </w:r>
          </w:p>
        </w:tc>
        <w:tc>
          <w:tcPr>
            <w:tcW w:w="2340" w:type="dxa"/>
          </w:tcPr>
          <w:p>
            <w:pPr/>
            <w:r>
              <w:t xml:space="preserve">&gt;= 0.75</w:t>
            </w:r>
          </w:p>
        </w:tc>
        <w:tc>
          <w:tcPr>
            <w:tcW w:w="2340" w:type="dxa"/>
          </w:tcPr>
          <w:p>
            <w:pPr/>
            <w:r>
              <w:t xml:space="preserve">0.20</w:t>
            </w:r>
          </w:p>
        </w:tc>
      </w:tr>
      <w:tr>
        <w:tc>
          <w:tcPr>
            <w:tcW w:w="2340" w:type="dxa"/>
          </w:tcPr>
          <w:p>
            <w:pPr/>
            <w:r>
              <w:t xml:space="preserve">Manual lookups remain</w:t>
            </w:r>
          </w:p>
        </w:tc>
        <w:tc>
          <w:tcPr>
            <w:tcW w:w="2340" w:type="dxa"/>
          </w:tcPr>
          <w:p>
            <w:pPr/>
            <w:r>
              <w:t xml:space="preserve">Queries Confidently Answered</w:t>
            </w:r>
          </w:p>
        </w:tc>
        <w:tc>
          <w:tcPr>
            <w:tcW w:w="2340" w:type="dxa"/>
          </w:tcPr>
          <w:p>
            <w:pPr/>
            <w:r>
              <w:t xml:space="preserve">&gt;= 50%</w:t>
            </w:r>
          </w:p>
        </w:tc>
        <w:tc>
          <w:tcPr>
            <w:tcW w:w="2340" w:type="dxa"/>
          </w:tcPr>
          <w:p>
            <w:pPr/>
            <w:r>
              <w:t xml:space="preserve">not in composite</w:t>
            </w:r>
          </w:p>
        </w:tc>
      </w:tr>
    </w:tbl>
    <w:p>
      <w:pPr/>
      <w:r>
        <w:t xml:space="preserve">The composite score combines the four metrics for each query:</w:t>
      </w:r>
    </w:p>
    <w:p>
      <w:pPr/>
      <w:r>
        <w:rPr>
          <w:b/>
        </w:rPr>
        <w:t xml:space="preserve">Composite = 0.35 × Faithfulness + 0.25 × Contextual Recall + 0.20 × Contextual Precision + 0.20 × Answer Relevancy</w:t>
      </w:r>
    </w:p>
    <w:p>
      <w:pPr/>
      <w:r>
        <w:t xml:space="preserve">A query with a composite of 0.75 or more is routed to </w:t>
      </w:r>
      <w:r>
        <w:rPr>
          <w:b/>
        </w:rPr>
        <w:t xml:space="preserve">Auto Answer</w:t>
      </w:r>
      <w:r>
        <w:t xml:space="preserve">; anything lower goes to </w:t>
      </w:r>
      <w:r>
        <w:rPr>
          <w:b/>
        </w:rPr>
        <w:t xml:space="preserve">Manual Lookup</w:t>
      </w:r>
      <w:r>
        <w:t xml:space="preserve">. Faithfulness carries the most weight because a confident wrong answer about a fee or refund does the most damage.</w:t>
      </w:r>
    </w:p>
    <w:p>
      <w:pPr/>
      <w:r>
        <w:t xml:space="preserve">The diagram in section 6 shows how the deployed parts fit together.</w:t>
      </w:r>
    </w:p>
    <w:p>
      <w:pPr>
        <w:pStyle w:val="Heading2"/>
      </w:pPr>
      <w:r>
        <w:t xml:space="preserve">2. Environment and setup</w:t>
      </w:r>
    </w:p>
    <w:p>
      <w:pPr/>
      <w:r>
        <w:t xml:space="preserve">The notebook runs unchanged in Google Colab or a local Jupyter kernel such as VS Code; the few cells that differ detect the environment themselves.</w:t>
      </w:r>
    </w:p>
    <w:p>
      <w:pPr/>
      <w:r>
        <w:rPr>
          <w:b/>
        </w:rPr>
        <w:t xml:space="preserve">Files to place before running: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Location</w:t>
            </w:r>
          </w:p>
        </w:tc>
        <w:tc>
          <w:tcPr>
            <w:tcW w:w="3120" w:type="dxa"/>
            <w:shd w:val="clear" w:color="auto" w:fill="F2F2F2"/>
          </w:tcPr>
          <w:p>
            <w:pPr/>
            <w:r>
              <w:t xml:space="preserve">Purpose</w:t>
            </w:r>
          </w:p>
        </w:tc>
      </w:tr>
      <w:tr>
        <w:tc>
          <w:tcPr>
            <w:tcW w:w="3120" w:type="dxa"/>
          </w:tcPr>
          <w:p>
            <w:pPr/>
            <w:r>
              <w:rPr>
                <w:rStyle w:val="CodeChar"/>
              </w:rPr>
              <w:t xml:space="preserve">config.json</w:t>
            </w:r>
          </w:p>
        </w:tc>
        <w:tc>
          <w:tcPr>
            <w:tcW w:w="3120" w:type="dxa"/>
          </w:tcPr>
          <w:p>
            <w:pPr/>
            <w:r>
              <w:t xml:space="preserve">next to the notebook</w:t>
            </w:r>
          </w:p>
        </w:tc>
        <w:tc>
          <w:tcPr>
            <w:tcW w:w="3120" w:type="dxa"/>
          </w:tcPr>
          <w:p>
            <w:pPr/>
            <w:r>
              <w:rPr>
                <w:rStyle w:val="CodeChar"/>
              </w:rPr>
              <w:t xml:space="preserve">OPENAI_API_KEY</w:t>
            </w:r>
            <w:r>
              <w:t xml:space="preserve"> and </w:t>
            </w:r>
            <w:r>
              <w:rPr>
                <w:rStyle w:val="CodeChar"/>
              </w:rPr>
              <w:t xml:space="preserve">OPENAI_API_BASE</w:t>
            </w:r>
          </w:p>
        </w:tc>
      </w:tr>
      <w:tr>
        <w:tc>
          <w:tcPr>
            <w:tcW w:w="3120" w:type="dxa"/>
          </w:tcPr>
          <w:p>
            <w:pPr/>
            <w:r>
              <w:t xml:space="preserve">Four policy PDFs</w:t>
            </w:r>
          </w:p>
        </w:tc>
        <w:tc>
          <w:tcPr>
            <w:tcW w:w="3120" w:type="dxa"/>
          </w:tcPr>
          <w:p>
            <w:pPr/>
            <w:r>
              <w:rPr>
                <w:rStyle w:val="CodeChar"/>
              </w:rPr>
              <w:t xml:space="preserve">Data/</w:t>
            </w:r>
          </w:p>
        </w:tc>
        <w:tc>
          <w:tcPr>
            <w:tcW w:w="3120" w:type="dxa"/>
          </w:tcPr>
          <w:p>
            <w:pPr/>
            <w:r>
              <w:t xml:space="preserve">the knowledge base</w:t>
            </w:r>
          </w:p>
        </w:tc>
      </w:tr>
      <w:tr>
        <w:tc>
          <w:tcPr>
            <w:tcW w:w="3120" w:type="dxa"/>
          </w:tcPr>
          <w:p>
            <w:pPr/>
            <w:r>
              <w:rPr>
                <w:rStyle w:val="CodeChar"/>
              </w:rPr>
              <w:t xml:space="preserve">evaluation.csv</w:t>
            </w:r>
          </w:p>
        </w:tc>
        <w:tc>
          <w:tcPr>
            <w:tcW w:w="3120" w:type="dxa"/>
          </w:tcPr>
          <w:p>
            <w:pPr/>
            <w:r>
              <w:rPr>
                <w:rStyle w:val="CodeChar"/>
              </w:rPr>
              <w:t xml:space="preserve">Data/</w:t>
            </w:r>
          </w:p>
        </w:tc>
        <w:tc>
          <w:tcPr>
            <w:tcW w:w="3120" w:type="dxa"/>
          </w:tcPr>
          <w:p>
            <w:pPr/>
            <w:r>
              <w:t xml:space="preserve">10 benchmark queries used for tuning</w:t>
            </w:r>
          </w:p>
        </w:tc>
      </w:tr>
      <w:tr>
        <w:tc>
          <w:tcPr>
            <w:tcW w:w="3120" w:type="dxa"/>
          </w:tcPr>
          <w:p>
            <w:pPr/>
            <w:r>
              <w:rPr>
                <w:rStyle w:val="CodeChar"/>
              </w:rPr>
              <w:t xml:space="preserve">test.csv</w:t>
            </w:r>
            <w:r>
              <w:t xml:space="preserve"> or </w:t>
            </w:r>
            <w:r>
              <w:rPr>
                <w:rStyle w:val="CodeChar"/>
              </w:rPr>
              <w:t xml:space="preserve">test.xlsx</w:t>
            </w:r>
          </w:p>
        </w:tc>
        <w:tc>
          <w:tcPr>
            <w:tcW w:w="3120" w:type="dxa"/>
          </w:tcPr>
          <w:p>
            <w:pPr/>
            <w:r>
              <w:rPr>
                <w:rStyle w:val="CodeChar"/>
              </w:rPr>
              <w:t xml:space="preserve">Data/</w:t>
            </w:r>
          </w:p>
        </w:tc>
        <w:tc>
          <w:tcPr>
            <w:tcW w:w="3120" w:type="dxa"/>
          </w:tcPr>
          <w:p>
            <w:pPr/>
            <w:r>
              <w:t xml:space="preserve">10 held-out queries</w:t>
            </w:r>
          </w:p>
        </w:tc>
      </w:tr>
    </w:tbl>
    <w:p>
      <w:pPr/>
      <w:r>
        <w:rPr>
          <w:b/>
        </w:rPr>
        <w:t xml:space="preserve">Steps:</w:t>
      </w:r>
    </w:p>
    <w:p>
      <w:pPr>
        <w:pStyle w:val="ListParagraph"/>
        <w:numPr>
          <w:ilvl w:val="0"/>
          <w:numId w:val="2"/>
        </w:numPr>
      </w:pPr>
      <w:r>
        <w:rPr>
          <w:b/>
        </w:rPr>
        <w:t xml:space="preserve">Install packages.</w:t>
      </w:r>
      <w:r>
        <w:t xml:space="preserve"> One cell installs the pinned versions of Docling, Transformers, LangChain (HuggingFace, text splitters, community, OpenAI), FAISS, DeepEval and PyGithub. In Colab it uses </w:t>
      </w:r>
      <w:r>
        <w:rPr>
          <w:rStyle w:val="CodeChar"/>
        </w:rPr>
        <w:t xml:space="preserve">uv</w:t>
      </w:r>
      <w:r>
        <w:t xml:space="preserve">, as in the course template. Locally it uses </w:t>
      </w:r>
      <w:r>
        <w:rPr>
          <w:rStyle w:val="CodeChar"/>
        </w:rPr>
        <w:t xml:space="preserve">pip</w:t>
      </w:r>
      <w:r>
        <w:t xml:space="preserve"> for the active kernel and also adds </w:t>
      </w:r>
      <w:r>
        <w:rPr>
          <w:rStyle w:val="CodeChar"/>
        </w:rPr>
        <w:t xml:space="preserve">sentence-transformers</w:t>
      </w:r>
      <w:r>
        <w:t xml:space="preserve"> and </w:t>
      </w:r>
      <w:r>
        <w:rPr>
          <w:rStyle w:val="CodeChar"/>
        </w:rPr>
        <w:t xml:space="preserve">openpyxl</w:t>
      </w:r>
      <w:r>
        <w:t xml:space="preserve">, which Colab already ships with.</w:t>
      </w:r>
    </w:p>
    <w:p>
      <w:pPr>
        <w:pStyle w:val="ListParagraph"/>
        <w:numPr>
          <w:ilvl w:val="0"/>
          <w:numId w:val="2"/>
        </w:numPr>
      </w:pPr>
      <w:r>
        <w:rPr>
          <w:b/>
        </w:rPr>
        <w:t xml:space="preserve">Restart the kernel</w:t>
      </w:r>
      <w:r>
        <w:t xml:space="preserve">, then run every cell from the imports onward, top to bottom.</w:t>
      </w:r>
    </w:p>
    <w:p>
      <w:pPr>
        <w:pStyle w:val="ListParagraph"/>
        <w:numPr>
          <w:ilvl w:val="0"/>
          <w:numId w:val="2"/>
        </w:numPr>
      </w:pPr>
      <w:r>
        <w:rPr>
          <w:b/>
        </w:rPr>
        <w:t xml:space="preserve">Imports and display settings.</w:t>
      </w:r>
      <w:r>
        <w:t xml:space="preserve"> Pandas is set to show full cell contents so long chunks and answers are readable. An </w:t>
      </w:r>
      <w:r>
        <w:rPr>
          <w:rStyle w:val="CodeChar"/>
        </w:rPr>
        <w:t xml:space="preserve">IN_COLAB</w:t>
      </w:r>
      <w:r>
        <w:t xml:space="preserve"> flag is set for the later GitHub step.</w:t>
      </w:r>
    </w:p>
    <w:p>
      <w:pPr>
        <w:pStyle w:val="ListParagraph"/>
        <w:numPr>
          <w:ilvl w:val="0"/>
          <w:numId w:val="2"/>
        </w:numPr>
      </w:pPr>
      <w:r>
        <w:rPr>
          <w:b/>
        </w:rPr>
        <w:t xml:space="preserve">Pre-flight check.</w:t>
      </w:r>
      <w:r>
        <w:t xml:space="preserve"> Before the slow PDF conversion starts, a cell confirms that every input file is present and lists anything missing. This prevents losing 10 to 15 minutes of conversion to a missing file discovered later.</w:t>
      </w:r>
    </w:p>
    <w:p>
      <w:pPr>
        <w:pStyle w:val="Heading2"/>
      </w:pPr>
      <w:r>
        <w:t xml:space="preserve">3. Data Understanding (2 points)</w:t>
      </w:r>
    </w:p>
    <w:p>
      <w:pPr/>
      <w:r>
        <w:t xml:space="preserve">The four PDFs are converted to structured markdown with Docling, profiled, and inspected so that the chunking strategy fits how the content is actually organized.</w:t>
      </w:r>
    </w:p>
    <w:p>
      <w:pPr>
        <w:pStyle w:val="ListParagraph"/>
        <w:numPr>
          <w:ilvl w:val="0"/>
          <w:numId w:val="3"/>
        </w:numPr>
      </w:pPr>
      <w:r>
        <w:rPr>
          <w:b/>
        </w:rPr>
        <w:t xml:space="preserve">Load the documents.</w:t>
      </w:r>
      <w:r>
        <w:t xml:space="preserve"> The notebook creates the </w:t>
      </w:r>
      <w:r>
        <w:rPr>
          <w:rStyle w:val="CodeChar"/>
        </w:rPr>
        <w:t xml:space="preserve">Data</w:t>
      </w:r>
      <w:r>
        <w:t xml:space="preserve"> folder and lists the four PDF paths.</w:t>
      </w:r>
    </w:p>
    <w:p>
      <w:pPr>
        <w:pStyle w:val="ListParagraph"/>
        <w:numPr>
          <w:ilvl w:val="0"/>
          <w:numId w:val="3"/>
        </w:numPr>
      </w:pPr>
      <w:r>
        <w:rPr>
          <w:b/>
        </w:rPr>
        <w:t xml:space="preserve">Convert with Docling.</w:t>
      </w:r>
      <w:r>
        <w:t xml:space="preserve"> </w:t>
      </w:r>
      <w:r>
        <w:rPr>
          <w:rStyle w:val="CodeChar"/>
        </w:rPr>
        <w:t xml:space="preserve">DocumentConverter</w:t>
      </w:r>
      <w:r>
        <w:t xml:space="preserve"> parses each PDF's layout and returns a document object that keeps headings, lists and tables. A plain text extractor would flatten the tables, and the tables hold most of the amounts, deadlines and per-property differences. Conversion takes 10 to 15 minutes.</w:t>
      </w:r>
    </w:p>
    <w:p>
      <w:pPr>
        <w:pStyle w:val="ListParagraph"/>
        <w:numPr>
          <w:ilvl w:val="0"/>
          <w:numId w:val="3"/>
        </w:numPr>
      </w:pPr>
      <w:r>
        <w:rPr>
          <w:b/>
        </w:rPr>
        <w:t xml:space="preserve">Profile the structure.</w:t>
      </w:r>
      <w:r>
        <w:t xml:space="preserve"> A summary table gives, for each document, the page count, characters, words, number of headings, number of tables and number of table rows. A second cell prints every section heading, which shows how each document is organized.</w:t>
      </w:r>
    </w:p>
    <w:p>
      <w:pPr>
        <w:pStyle w:val="ListParagraph"/>
        <w:numPr>
          <w:ilvl w:val="0"/>
          <w:numId w:val="3"/>
        </w:numPr>
      </w:pPr>
      <w:r>
        <w:rPr>
          <w:b/>
        </w:rPr>
        <w:t xml:space="preserve">View the markdown.</w:t>
      </w:r>
      <w:r>
        <w:t xml:space="preserve"> The refunds guide is printed in full as the text that will be chunked.</w:t>
      </w:r>
    </w:p>
    <w:p>
      <w:pPr>
        <w:pStyle w:val="ListParagraph"/>
        <w:numPr>
          <w:ilvl w:val="0"/>
          <w:numId w:val="3"/>
        </w:numPr>
      </w:pPr>
      <w:r>
        <w:rPr>
          <w:b/>
        </w:rPr>
        <w:t xml:space="preserve">View the tables.</w:t>
      </w:r>
      <w:r>
        <w:t xml:space="preserve"> Every item labelled </w:t>
      </w:r>
      <w:r>
        <w:rPr>
          <w:rStyle w:val="CodeChar"/>
        </w:rPr>
        <w:t xml:space="preserve">table</w:t>
      </w:r>
      <w:r>
        <w:t xml:space="preserve"> is exported as markdown to confirm its rows and columns survived conversion.</w:t>
      </w:r>
    </w:p>
    <w:p>
      <w:pPr/>
      <w:r>
        <w:rPr>
          <w:b/>
        </w:rPr>
        <w:t xml:space="preserve">Observations to report</w:t>
      </w:r>
      <w:r>
        <w:t xml:space="preserve"> (confirm each against your run's output):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Observation</w:t>
            </w:r>
          </w:p>
        </w:tc>
        <w:tc>
          <w:tcPr>
            <w:tcW w:w="4680" w:type="dxa"/>
            <w:shd w:val="clear" w:color="auto" w:fill="F2F2F2"/>
          </w:tcPr>
          <w:p>
            <w:pPr/>
            <w:r>
              <w:t xml:space="preserve">Why it matters for the design</w:t>
            </w:r>
          </w:p>
        </w:tc>
      </w:tr>
      <w:tr>
        <w:tc>
          <w:tcPr>
            <w:tcW w:w="4680" w:type="dxa"/>
          </w:tcPr>
          <w:p>
            <w:pPr/>
            <w:r>
              <w:t xml:space="preserve">Small corpus: 4 documents, 19 pages, one policy area each</w:t>
            </w:r>
          </w:p>
        </w:tc>
        <w:tc>
          <w:tcPr>
            <w:tcW w:w="4680" w:type="dxa"/>
          </w:tcPr>
          <w:p>
            <w:pPr/>
            <w:r>
              <w:t xml:space="preserve">The source file name is useful metadata for citing answers</w:t>
            </w:r>
          </w:p>
        </w:tc>
      </w:tr>
      <w:tr>
        <w:tc>
          <w:tcPr>
            <w:tcW w:w="4680" w:type="dxa"/>
          </w:tcPr>
          <w:p>
            <w:pPr/>
            <w:r>
              <w:t xml:space="preserve">Content is organized by section headings</w:t>
            </w:r>
          </w:p>
        </w:tc>
        <w:tc>
          <w:tcPr>
            <w:tcW w:w="4680" w:type="dxa"/>
          </w:tcPr>
          <w:p>
            <w:pPr/>
            <w:r>
              <w:t xml:space="preserve">Split at headings first so a chunk holds one complete rule</w:t>
            </w:r>
          </w:p>
        </w:tc>
      </w:tr>
      <w:tr>
        <w:tc>
          <w:tcPr>
            <w:tcW w:w="4680" w:type="dxa"/>
          </w:tcPr>
          <w:p>
            <w:pPr/>
            <w:r>
              <w:t xml:space="preserve">Specifics sit in tables: the six-property matrix, itemized charges, the escalation matrix</w:t>
            </w:r>
          </w:p>
        </w:tc>
        <w:tc>
          <w:tcPr>
            <w:tcW w:w="4680" w:type="dxa"/>
          </w:tcPr>
          <w:p>
            <w:pPr/>
            <w:r>
              <w:t xml:space="preserve">Keep a table with its header row; a row alone loses meaning</w:t>
            </w:r>
          </w:p>
        </w:tc>
      </w:tr>
      <w:tr>
        <w:tc>
          <w:tcPr>
            <w:tcW w:w="4680" w:type="dxa"/>
          </w:tcPr>
          <w:p>
            <w:pPr/>
            <w:r>
              <w:t xml:space="preserve">Topics span documents: pets, service animals, cancellation plus refund</w:t>
            </w:r>
          </w:p>
        </w:tc>
        <w:tc>
          <w:tcPr>
            <w:tcW w:w="4680" w:type="dxa"/>
          </w:tcPr>
          <w:p>
            <w:pPr/>
            <w:r>
              <w:t xml:space="preserve">Multi-document queries need more than 2 retrieved chunks</w:t>
            </w:r>
          </w:p>
        </w:tc>
      </w:tr>
      <w:tr>
        <w:tc>
          <w:tcPr>
            <w:tcW w:w="4680" w:type="dxa"/>
          </w:tcPr>
          <w:p>
            <w:pPr/>
            <w:r>
              <w:t xml:space="preserve">Rules depend on rate plan or property</w:t>
            </w:r>
          </w:p>
        </w:tc>
        <w:tc>
          <w:tcPr>
            <w:tcW w:w="4680" w:type="dxa"/>
          </w:tcPr>
          <w:p>
            <w:pPr/>
            <w:r>
              <w:t xml:space="preserve">Answers must keep the condition, which shapes the generation rules</w:t>
            </w:r>
          </w:p>
        </w:tc>
      </w:tr>
      <w:tr>
        <w:tc>
          <w:tcPr>
            <w:tcW w:w="4680" w:type="dxa"/>
          </w:tcPr>
          <w:p>
            <w:pPr/>
            <w:r>
              <w:t xml:space="preserve">Procedures are ordered: 5-step refund dispute, 5-stage complaint process</w:t>
            </w:r>
          </w:p>
        </w:tc>
        <w:tc>
          <w:tcPr>
            <w:tcW w:w="4680" w:type="dxa"/>
          </w:tcPr>
          <w:p>
            <w:pPr/>
            <w:r>
              <w:t xml:space="preserve">Splitting a sequence risks returning only part of it</w:t>
            </w:r>
          </w:p>
        </w:tc>
      </w:tr>
    </w:tbl>
    <w:p>
      <w:pPr>
        <w:pStyle w:val="Heading2"/>
      </w:pPr>
      <w:r>
        <w:t xml:space="preserve">4. Retrieval Augmented Generation system (16 points)</w:t>
      </w:r>
    </w:p>
    <w:p>
      <w:pPr/>
      <w:r>
        <w:t xml:space="preserve">The RAG system has three parts, built in order: chunking, the vector database with retrieval, and generation.</w:t>
      </w:r>
    </w:p>
    <w:p>
      <w:pPr>
        <w:pStyle w:val="Heading3"/>
      </w:pPr>
      <w:r>
        <w:t xml:space="preserve">4.1 Chunking</w:t>
      </w:r>
    </w:p>
    <w:p>
      <w:pPr>
        <w:pStyle w:val="ListParagraph"/>
        <w:numPr>
          <w:ilvl w:val="0"/>
          <w:numId w:val="4"/>
        </w:numPr>
      </w:pPr>
      <w:r>
        <w:rPr>
          <w:b/>
        </w:rPr>
        <w:t xml:space="preserve">Choose the embedding model.</w:t>
      </w:r>
      <w:r>
        <w:t xml:space="preserve"> </w:t>
      </w:r>
      <w:r>
        <w:rPr>
          <w:rStyle w:val="CodeChar"/>
        </w:rPr>
        <w:t xml:space="preserve">HarishMaths/Hotel-Policy-Embedding</w:t>
      </w:r>
      <w:r>
        <w:t xml:space="preserve"> is fine-tuned on hotel policy text, so it should place staff questions and the policy passages that answer them closer together than a general-purpose model would. Its tokenizer is loaded to read the model's maximum token length.</w:t>
      </w:r>
    </w:p>
    <w:p>
      <w:pPr>
        <w:pStyle w:val="ListParagraph"/>
        <w:numPr>
          <w:ilvl w:val="0"/>
          <w:numId w:val="4"/>
        </w:numPr>
      </w:pPr>
      <w:r>
        <w:rPr>
          <w:b/>
        </w:rPr>
        <w:t xml:space="preserve">Inspect tokenization.</w:t>
      </w:r>
      <w:r>
        <w:t xml:space="preserve"> A realistic staff question ("Can a guest on an Advance Purchase rate get a refund if they cancel two days before arrival?") is tokenized to show how words break into subword tokens and the tokens-per-word ratio.</w:t>
      </w:r>
    </w:p>
    <w:p>
      <w:pPr>
        <w:pStyle w:val="ListParagraph"/>
        <w:numPr>
          <w:ilvl w:val="0"/>
          <w:numId w:val="4"/>
        </w:numPr>
      </w:pPr>
      <w:r>
        <w:rPr>
          <w:b/>
        </w:rPr>
        <w:t xml:space="preserve">Define the chunker.</w:t>
      </w:r>
      <w:r>
        <w:t xml:space="preserve"> A </w:t>
      </w:r>
      <w:r>
        <w:rPr>
          <w:rStyle w:val="CodeChar"/>
        </w:rPr>
        <w:t xml:space="preserve">RecursiveCharacterTextSplitter</w:t>
      </w:r>
      <w:r>
        <w:t xml:space="preserve"> built with </w:t>
      </w:r>
      <w:r>
        <w:rPr>
          <w:rStyle w:val="CodeChar"/>
        </w:rPr>
        <w:t xml:space="preserve">from_huggingface_tokenizer</w:t>
      </w:r>
      <w:r>
        <w:t xml:space="preserve">, so chunk length is counted in the embedding model's own 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Value</w:t>
            </w:r>
          </w:p>
        </w:tc>
        <w:tc>
          <w:tcPr>
            <w:tcW w:w="3120" w:type="dxa"/>
            <w:shd w:val="clear" w:color="auto" w:fill="F2F2F2"/>
          </w:tcPr>
          <w:p>
            <w:pPr/>
            <w:r>
              <w:t xml:space="preserve">Reason</w:t>
            </w:r>
          </w:p>
        </w:tc>
      </w:tr>
      <w:tr>
        <w:tc>
          <w:tcPr>
            <w:tcW w:w="3120" w:type="dxa"/>
          </w:tcPr>
          <w:p>
            <w:pPr/>
            <w:r>
              <w:t xml:space="preserve">Length unit</w:t>
            </w:r>
          </w:p>
        </w:tc>
        <w:tc>
          <w:tcPr>
            <w:tcW w:w="3120" w:type="dxa"/>
          </w:tcPr>
          <w:p>
            <w:pPr/>
            <w:r>
              <w:t xml:space="preserve">embedding-model tokens</w:t>
            </w:r>
          </w:p>
        </w:tc>
        <w:tc>
          <w:tcPr>
            <w:tcW w:w="3120" w:type="dxa"/>
          </w:tcPr>
          <w:p>
            <w:pPr/>
            <w:r>
              <w:t xml:space="preserve">a chunk can never exceed what the model encodes</w:t>
            </w:r>
          </w:p>
        </w:tc>
      </w:tr>
      <w:tr>
        <w:tc>
          <w:tcPr>
            <w:tcW w:w="3120" w:type="dxa"/>
          </w:tcPr>
          <w:p>
            <w:pPr/>
            <w:r>
              <w:t xml:space="preserve">Chunk size</w:t>
            </w:r>
          </w:p>
        </w:tc>
        <w:tc>
          <w:tcPr>
            <w:tcW w:w="3120" w:type="dxa"/>
          </w:tcPr>
          <w:p>
            <w:pPr/>
            <w:r>
              <w:t xml:space="preserve">80% of the model limit, capped at 400</w:t>
            </w:r>
          </w:p>
        </w:tc>
        <w:tc>
          <w:tcPr>
            <w:tcW w:w="3120" w:type="dxa"/>
          </w:tcPr>
          <w:p>
            <w:pPr/>
            <w:r>
              <w:t xml:space="preserve">headroom for special tokens; no silent truncation</w:t>
            </w:r>
          </w:p>
        </w:tc>
      </w:tr>
      <w:tr>
        <w:tc>
          <w:tcPr>
            <w:tcW w:w="3120" w:type="dxa"/>
          </w:tcPr>
          <w:p>
            <w:pPr/>
            <w:r>
              <w:t xml:space="preserve">Overlap</w:t>
            </w:r>
          </w:p>
        </w:tc>
        <w:tc>
          <w:tcPr>
            <w:tcW w:w="3120" w:type="dxa"/>
          </w:tcPr>
          <w:p>
            <w:pPr/>
            <w:r>
              <w:t xml:space="preserve">15% of chunk size</w:t>
            </w:r>
          </w:p>
        </w:tc>
        <w:tc>
          <w:tcPr>
            <w:tcW w:w="3120" w:type="dxa"/>
          </w:tcPr>
          <w:p>
            <w:pPr/>
            <w:r>
              <w:t xml:space="preserve">keeps a rule and its exception together at a boundary</w:t>
            </w:r>
          </w:p>
        </w:tc>
      </w:tr>
      <w:tr>
        <w:tc>
          <w:tcPr>
            <w:tcW w:w="3120" w:type="dxa"/>
          </w:tcPr>
          <w:p>
            <w:pPr/>
            <w:r>
              <w:t xml:space="preserve">Separators</w:t>
            </w:r>
          </w:p>
        </w:tc>
        <w:tc>
          <w:tcPr>
            <w:tcW w:w="3120" w:type="dxa"/>
          </w:tcPr>
          <w:p>
            <w:pPr/>
            <w:r>
              <w:rPr>
                <w:rStyle w:val="CodeChar"/>
              </w:rPr>
              <w:t xml:space="preserve">## </w:t>
            </w:r>
            <w:r>
              <w:t xml:space="preserve">, </w:t>
            </w:r>
            <w:r>
              <w:rPr>
                <w:rStyle w:val="CodeChar"/>
              </w:rPr>
              <w:t xml:space="preserve">### </w:t>
            </w:r>
            <w:r>
              <w:t xml:space="preserve">, blank line, line, sentence, word</w:t>
            </w:r>
          </w:p>
        </w:tc>
        <w:tc>
          <w:tcPr>
            <w:tcW w:w="3120" w:type="dxa"/>
          </w:tcPr>
          <w:p>
            <w:pPr/>
            <w:r>
              <w:t xml:space="preserve">split at section boundaries before anything smaller</w:t>
            </w:r>
          </w:p>
        </w:tc>
      </w:tr>
    </w:tbl>
    <w:p>
      <w:pPr>
        <w:pStyle w:val="ListParagraph"/>
        <w:numPr>
          <w:ilvl w:val="0"/>
          <w:numId w:val="5"/>
        </w:numPr>
      </w:pPr>
      <w:r>
        <w:rPr>
          <w:b/>
        </w:rPr>
        <w:t xml:space="preserve">Chunk the documents.</w:t>
      </w:r>
      <w:r>
        <w:t xml:space="preserve"> Each document's markdown becomes one LangChain </w:t>
      </w:r>
      <w:r>
        <w:rPr>
          <w:rStyle w:val="CodeChar"/>
        </w:rPr>
        <w:t xml:space="preserve">Document</w:t>
      </w:r>
      <w:r>
        <w:t xml:space="preserve"> with its file path as </w:t>
      </w:r>
      <w:r>
        <w:rPr>
          <w:rStyle w:val="CodeChar"/>
        </w:rPr>
        <w:t xml:space="preserve">source</w:t>
      </w:r>
      <w:r>
        <w:t xml:space="preserve"> metadata, and the splitter produces the chunks.</w:t>
      </w:r>
    </w:p>
    <w:p>
      <w:pPr>
        <w:pStyle w:val="ListParagraph"/>
        <w:numPr>
          <w:ilvl w:val="0"/>
          <w:numId w:val="5"/>
        </w:numPr>
      </w:pPr>
      <w:r>
        <w:rPr>
          <w:b/>
        </w:rPr>
        <w:t xml:space="preserve">Check the chunks.</w:t>
      </w:r>
      <w:r>
        <w:t xml:space="preserve"> A statistics table gives chunk count and min, mean and max tokens per document. Previews of each chunk and its metadata confirm that splits fall on headings or paragraphs and that tables keep their header row.</w:t>
      </w:r>
    </w:p>
    <w:p>
      <w:pPr>
        <w:pStyle w:val="Heading3"/>
      </w:pPr>
      <w:r>
        <w:t xml:space="preserve">4.2 Vector database and retrieval</w:t>
      </w:r>
    </w:p>
    <w:p>
      <w:pPr>
        <w:pStyle w:val="ListParagraph"/>
        <w:numPr>
          <w:ilvl w:val="0"/>
          <w:numId w:val="6"/>
        </w:numPr>
      </w:pPr>
      <w:r>
        <w:rPr>
          <w:b/>
        </w:rPr>
        <w:t xml:space="preserve">Load the embedding model</w:t>
      </w:r>
      <w:r>
        <w:t xml:space="preserve"> on CPU with </w:t>
      </w:r>
      <w:r>
        <w:rPr>
          <w:rStyle w:val="CodeChar"/>
        </w:rPr>
        <w:t xml:space="preserve">normalize_embeddings=True</w:t>
      </w:r>
      <w:r>
        <w:t xml:space="preserve">. Normalized vectors make cosine similarity and inner product rank results the same way.</w:t>
      </w:r>
    </w:p>
    <w:p>
      <w:pPr>
        <w:pStyle w:val="ListParagraph"/>
        <w:numPr>
          <w:ilvl w:val="0"/>
          <w:numId w:val="6"/>
        </w:numPr>
      </w:pPr>
      <w:r>
        <w:rPr>
          <w:b/>
        </w:rPr>
        <w:t xml:space="preserve">Truncation check.</w:t>
      </w:r>
      <w:r>
        <w:t xml:space="preserve"> The sentence-transformer can enforce a shorter limit than the tokenizer reports. A cell compares every chunk's length with that limit and, if any chunk is too long, prints the chunk size to use instead.</w:t>
      </w:r>
    </w:p>
    <w:p>
      <w:pPr>
        <w:pStyle w:val="ListParagraph"/>
        <w:numPr>
          <w:ilvl w:val="0"/>
          <w:numId w:val="6"/>
        </w:numPr>
      </w:pPr>
      <w:r>
        <w:rPr>
          <w:b/>
        </w:rPr>
        <w:t xml:space="preserve">Create the vector database.</w:t>
      </w:r>
      <w:r>
        <w:t xml:space="preserve"> </w:t>
      </w:r>
      <w:r>
        <w:rPr>
          <w:rStyle w:val="CodeChar"/>
        </w:rPr>
        <w:t xml:space="preserve">FAISS.from_documents(lc_docs, embeddings)</w:t>
      </w:r>
      <w:r>
        <w:t xml:space="preserve"> embeds every chunk into an exact (flat) index. At this corpus size an exact search is fast and needs no tuning, and the index can be saved to disk for deployment.</w:t>
      </w:r>
    </w:p>
    <w:p>
      <w:pPr>
        <w:pStyle w:val="ListParagraph"/>
        <w:numPr>
          <w:ilvl w:val="0"/>
          <w:numId w:val="6"/>
        </w:numPr>
      </w:pPr>
      <w:r>
        <w:rPr>
          <w:b/>
        </w:rPr>
        <w:t xml:space="preserve">Define retrieval.</w:t>
      </w:r>
      <w:r>
        <w:t xml:space="preserve"> </w:t>
      </w:r>
      <w:r>
        <w:rPr>
          <w:rStyle w:val="CodeChar"/>
        </w:rPr>
        <w:t xml:space="preserve">retrieve(query, k, vectorstore)</w:t>
      </w:r>
      <w:r>
        <w:t xml:space="preserve"> runs a similarity search and returns each of the top-k chunks as text plus its source metadata, ready to place in the prompt.</w:t>
      </w:r>
    </w:p>
    <w:p>
      <w:pPr>
        <w:pStyle w:val="ListParagraph"/>
        <w:numPr>
          <w:ilvl w:val="0"/>
          <w:numId w:val="6"/>
        </w:numPr>
      </w:pPr>
      <w:r>
        <w:rPr>
          <w:b/>
        </w:rPr>
        <w:t xml:space="preserve">Test retrieval</w:t>
      </w:r>
      <w:r>
        <w:t xml:space="preserve"> with a pet-fee question. Pet rules sit in the room document and the fee in the refunds guide, an early sign that </w:t>
      </w:r>
      <w:r>
        <w:rPr>
          <w:rStyle w:val="CodeChar"/>
        </w:rPr>
        <w:t xml:space="preserve">k</w:t>
      </w:r>
      <w:r>
        <w:t xml:space="preserve"> above 2 helps.</w:t>
      </w:r>
    </w:p>
    <w:p>
      <w:pPr>
        <w:pStyle w:val="Heading3"/>
      </w:pPr>
      <w:r>
        <w:t xml:space="preserve">4.3 Generation</w:t>
      </w:r>
    </w:p>
    <w:p>
      <w:pPr>
        <w:pStyle w:val="ListParagraph"/>
        <w:numPr>
          <w:ilvl w:val="0"/>
          <w:numId w:val="7"/>
        </w:numPr>
      </w:pPr>
      <w:r>
        <w:rPr>
          <w:b/>
        </w:rPr>
        <w:t xml:space="preserve">Load credentials</w:t>
      </w:r>
      <w:r>
        <w:t xml:space="preserve"> from </w:t>
      </w:r>
      <w:r>
        <w:rPr>
          <w:rStyle w:val="CodeChar"/>
        </w:rPr>
        <w:t xml:space="preserve">config.json</w:t>
      </w:r>
      <w:r>
        <w:t xml:space="preserve"> into environment variables, so no key appears in the notebook.</w:t>
      </w:r>
    </w:p>
    <w:p>
      <w:pPr>
        <w:pStyle w:val="ListParagraph"/>
        <w:numPr>
          <w:ilvl w:val="0"/>
          <w:numId w:val="7"/>
        </w:numPr>
      </w:pPr>
      <w:r>
        <w:rPr>
          <w:b/>
        </w:rPr>
        <w:t xml:space="preserve">Load the LLM.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Value</w:t>
            </w:r>
          </w:p>
        </w:tc>
        <w:tc>
          <w:tcPr>
            <w:tcW w:w="3120" w:type="dxa"/>
            <w:shd w:val="clear" w:color="auto" w:fill="F2F2F2"/>
          </w:tcPr>
          <w:p>
            <w:pPr/>
            <w:r>
              <w:t xml:space="preserve">Reason</w:t>
            </w:r>
          </w:p>
        </w:tc>
      </w:tr>
      <w:tr>
        <w:tc>
          <w:tcPr>
            <w:tcW w:w="3120" w:type="dxa"/>
          </w:tcPr>
          <w:p>
            <w:pPr/>
            <w:r>
              <w:t xml:space="preserve">Model</w:t>
            </w:r>
          </w:p>
        </w:tc>
        <w:tc>
          <w:tcPr>
            <w:tcW w:w="3120" w:type="dxa"/>
          </w:tcPr>
          <w:p>
            <w:pPr/>
            <w:r>
              <w:rPr>
                <w:rStyle w:val="CodeChar"/>
              </w:rPr>
              <w:t xml:space="preserve">gpt-4o-mini</w:t>
            </w:r>
          </w:p>
        </w:tc>
        <w:tc>
          <w:tcPr>
            <w:tcW w:w="3120" w:type="dxa"/>
          </w:tcPr>
          <w:p>
            <w:pPr/>
            <w:r>
              <w:t xml:space="preserve">restating retrieved policy needs no larger model; low cost per query</w:t>
            </w:r>
          </w:p>
        </w:tc>
      </w:tr>
      <w:tr>
        <w:tc>
          <w:tcPr>
            <w:tcW w:w="3120" w:type="dxa"/>
          </w:tcPr>
          <w:p>
            <w:pPr/>
            <w:r>
              <w:t xml:space="preserve">Temperature</w:t>
            </w:r>
          </w:p>
        </w:tc>
        <w:tc>
          <w:tcPr>
            <w:tcW w:w="3120" w:type="dxa"/>
          </w:tcPr>
          <w:p>
            <w:pPr/>
            <w:r>
              <w:t xml:space="preserve">0</w:t>
            </w:r>
          </w:p>
        </w:tc>
        <w:tc>
          <w:tcPr>
            <w:tcW w:w="3120" w:type="dxa"/>
          </w:tcPr>
          <w:p>
            <w:pPr/>
            <w:r>
              <w:t xml:space="preserve">the same question gets the same answer</w:t>
            </w:r>
          </w:p>
        </w:tc>
      </w:tr>
      <w:tr>
        <w:tc>
          <w:tcPr>
            <w:tcW w:w="3120" w:type="dxa"/>
          </w:tcPr>
          <w:p>
            <w:pPr/>
            <w:r>
              <w:t xml:space="preserve">Top-p</w:t>
            </w:r>
          </w:p>
        </w:tc>
        <w:tc>
          <w:tcPr>
            <w:tcW w:w="3120" w:type="dxa"/>
          </w:tcPr>
          <w:p>
            <w:pPr/>
            <w:r>
              <w:t xml:space="preserve">1</w:t>
            </w:r>
          </w:p>
        </w:tc>
        <w:tc>
          <w:tcPr>
            <w:tcW w:w="3120" w:type="dxa"/>
          </w:tcPr>
          <w:p>
            <w:pPr/>
            <w:r>
              <w:t xml:space="preserve">nothing to restrict once temperature is 0</w:t>
            </w:r>
          </w:p>
        </w:tc>
      </w:tr>
      <w:tr>
        <w:tc>
          <w:tcPr>
            <w:tcW w:w="3120" w:type="dxa"/>
          </w:tcPr>
          <w:p>
            <w:pPr/>
            <w:r>
              <w:t xml:space="preserve">Max tokens</w:t>
            </w:r>
          </w:p>
        </w:tc>
        <w:tc>
          <w:tcPr>
            <w:tcW w:w="3120" w:type="dxa"/>
          </w:tcPr>
          <w:p>
            <w:pPr/>
            <w:r>
              <w:t xml:space="preserve">512</w:t>
            </w:r>
          </w:p>
        </w:tc>
        <w:tc>
          <w:tcPr>
            <w:tcW w:w="3120" w:type="dxa"/>
          </w:tcPr>
          <w:p>
            <w:pPr/>
            <w:r>
              <w:t xml:space="preserve">room to list conditions for several rate plans or properties</w:t>
            </w:r>
          </w:p>
        </w:tc>
      </w:tr>
    </w:tbl>
    <w:p>
      <w:pPr>
        <w:pStyle w:val="ListParagraph"/>
        <w:numPr>
          <w:ilvl w:val="0"/>
          <w:numId w:val="8"/>
        </w:numPr>
      </w:pPr>
      <w:r>
        <w:rPr>
          <w:b/>
        </w:rPr>
        <w:t xml:space="preserve">Check connectivity</w:t>
      </w:r>
      <w:r>
        <w:t xml:space="preserve"> by asking the model to reply "LLM is ready".</w:t>
      </w:r>
    </w:p>
    <w:p>
      <w:pPr>
        <w:pStyle w:val="ListParagraph"/>
        <w:numPr>
          <w:ilvl w:val="0"/>
          <w:numId w:val="8"/>
        </w:numPr>
      </w:pPr>
      <w:r>
        <w:rPr>
          <w:b/>
        </w:rPr>
        <w:t xml:space="preserve">Define the generation rules.</w:t>
      </w:r>
      <w:r>
        <w:t xml:space="preserve"> Each rule addresses one of the four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Risk addressed</w:t>
            </w:r>
          </w:p>
        </w:tc>
      </w:tr>
      <w:tr>
        <w:tc>
          <w:tcPr>
            <w:tcW w:w="4680" w:type="dxa"/>
          </w:tcPr>
          <w:p>
            <w:pPr/>
            <w:r>
              <w:t xml:space="preserve">Answer only from the retrieved policy information</w:t>
            </w:r>
          </w:p>
        </w:tc>
        <w:tc>
          <w:tcPr>
            <w:tcW w:w="4680" w:type="dxa"/>
          </w:tcPr>
          <w:p>
            <w:pPr/>
            <w:r>
              <w:t xml:space="preserve">Faithfulness</w:t>
            </w:r>
          </w:p>
        </w:tc>
      </w:tr>
      <w:tr>
        <w:tc>
          <w:tcPr>
            <w:tcW w:w="4680" w:type="dxa"/>
          </w:tcPr>
          <w:p>
            <w:pPr/>
            <w:r>
              <w:t xml:space="preserve">Give amounts, times and deadlines exactly as written</w:t>
            </w:r>
          </w:p>
        </w:tc>
        <w:tc>
          <w:tcPr>
            <w:tcW w:w="4680" w:type="dxa"/>
          </w:tcPr>
          <w:p>
            <w:pPr/>
            <w:r>
              <w:t xml:space="preserve">Faithfulness</w:t>
            </w:r>
          </w:p>
        </w:tc>
      </w:tr>
      <w:tr>
        <w:tc>
          <w:tcPr>
            <w:tcW w:w="4680" w:type="dxa"/>
          </w:tcPr>
          <w:p>
            <w:pPr/>
            <w:r>
              <w:t xml:space="preserve">If the context lacks the answer, give a fixed fallback sentence</w:t>
            </w:r>
          </w:p>
        </w:tc>
        <w:tc>
          <w:tcPr>
            <w:tcW w:w="4680" w:type="dxa"/>
          </w:tcPr>
          <w:p>
            <w:pPr/>
            <w:r>
              <w:t xml:space="preserve">Faithfulness</w:t>
            </w:r>
          </w:p>
        </w:tc>
      </w:tr>
      <w:tr>
        <w:tc>
          <w:tcPr>
            <w:tcW w:w="4680" w:type="dxa"/>
          </w:tcPr>
          <w:p>
            <w:pPr/>
            <w:r>
              <w:t xml:space="preserve">If passages conflict, state the conflict</w:t>
            </w:r>
          </w:p>
        </w:tc>
        <w:tc>
          <w:tcPr>
            <w:tcW w:w="4680" w:type="dxa"/>
          </w:tcPr>
          <w:p>
            <w:pPr/>
            <w:r>
              <w:t xml:space="preserve">Faithfulness</w:t>
            </w:r>
          </w:p>
        </w:tc>
      </w:tr>
      <w:tr>
        <w:tc>
          <w:tcPr>
            <w:tcW w:w="4680" w:type="dxa"/>
          </w:tcPr>
          <w:p>
            <w:pPr/>
            <w:r>
              <w:t xml:space="preserve">Include every condition: rate plan, property, deadline, fee, exception</w:t>
            </w:r>
          </w:p>
        </w:tc>
        <w:tc>
          <w:tcPr>
            <w:tcW w:w="4680" w:type="dxa"/>
          </w:tcPr>
          <w:p>
            <w:pPr/>
            <w:r>
              <w:t xml:space="preserve">Completeness</w:t>
            </w:r>
          </w:p>
        </w:tc>
      </w:tr>
      <w:tr>
        <w:tc>
          <w:tcPr>
            <w:tcW w:w="4680" w:type="dxa"/>
          </w:tcPr>
          <w:p>
            <w:pPr/>
            <w:r>
              <w:t xml:space="preserve">If the answer differs by property or rate plan, state each case</w:t>
            </w:r>
          </w:p>
        </w:tc>
        <w:tc>
          <w:tcPr>
            <w:tcW w:w="4680" w:type="dxa"/>
          </w:tcPr>
          <w:p>
            <w:pPr/>
            <w:r>
              <w:t xml:space="preserve">Completeness</w:t>
            </w:r>
          </w:p>
        </w:tc>
      </w:tr>
      <w:tr>
        <w:tc>
          <w:tcPr>
            <w:tcW w:w="4680" w:type="dxa"/>
          </w:tcPr>
          <w:p>
            <w:pPr/>
            <w:r>
              <w:t xml:space="preserve">Answer the question in the first sentence</w:t>
            </w:r>
          </w:p>
        </w:tc>
        <w:tc>
          <w:tcPr>
            <w:tcW w:w="4680" w:type="dxa"/>
          </w:tcPr>
          <w:p>
            <w:pPr/>
            <w:r>
              <w:t xml:space="preserve">Answer relevancy</w:t>
            </w:r>
          </w:p>
        </w:tc>
      </w:tr>
      <w:tr>
        <w:tc>
          <w:tcPr>
            <w:tcW w:w="4680" w:type="dxa"/>
          </w:tcPr>
          <w:p>
            <w:pPr/>
            <w:r>
              <w:t xml:space="preserve">Leave out retrieved text that does not bear on the question</w:t>
            </w:r>
          </w:p>
        </w:tc>
        <w:tc>
          <w:tcPr>
            <w:tcW w:w="4680" w:type="dxa"/>
          </w:tcPr>
          <w:p>
            <w:pPr/>
            <w:r>
              <w:t xml:space="preserve">Answer relevancy</w:t>
            </w:r>
          </w:p>
        </w:tc>
      </w:tr>
      <w:tr>
        <w:tc>
          <w:tcPr>
            <w:tcW w:w="4680" w:type="dxa"/>
          </w:tcPr>
          <w:p>
            <w:pPr/>
            <w:r>
              <w:t xml:space="preserve">Be concise and easy to relay to a guest</w:t>
            </w:r>
          </w:p>
        </w:tc>
        <w:tc>
          <w:tcPr>
            <w:tcW w:w="4680" w:type="dxa"/>
          </w:tcPr>
          <w:p>
            <w:pPr/>
            <w:r>
              <w:t xml:space="preserve">Answer relevancy</w:t>
            </w:r>
          </w:p>
        </w:tc>
      </w:tr>
    </w:tbl>
    <w:p>
      <w:pPr>
        <w:pStyle w:val="ListParagraph"/>
        <w:numPr>
          <w:ilvl w:val="0"/>
          <w:numId w:val="9"/>
        </w:numPr>
      </w:pPr>
      <w:r>
        <w:rPr>
          <w:b/>
        </w:rPr>
        <w:t xml:space="preserve">Define the RAG function.</w:t>
      </w:r>
      <w:r>
        <w:t xml:space="preserve"> </w:t>
      </w:r>
      <w:r>
        <w:rPr>
          <w:rStyle w:val="CodeChar"/>
        </w:rPr>
        <w:t xml:space="preserve">rag()</w:t>
      </w:r>
      <w:r>
        <w:t xml:space="preserve"> builds the model with the given parameters, retrieves the top-k chunks, generates the answer, and returns the answer with its chunks so the UI can show sources.</w:t>
      </w:r>
    </w:p>
    <w:p>
      <w:pPr>
        <w:pStyle w:val="ListParagraph"/>
        <w:numPr>
          <w:ilvl w:val="0"/>
          <w:numId w:val="9"/>
        </w:numPr>
      </w:pPr>
      <w:r>
        <w:rPr>
          <w:b/>
        </w:rPr>
        <w:t xml:space="preserve">Test end to end</w:t>
      </w:r>
      <w:r>
        <w:t xml:space="preserve"> with the pet-fee question, printing the answer and its source documents.</w:t>
      </w:r>
    </w:p>
    <w:p>
      <w:pPr>
        <w:pStyle w:val="ListParagraph"/>
        <w:numPr>
          <w:ilvl w:val="0"/>
          <w:numId w:val="9"/>
        </w:numPr>
      </w:pPr>
      <w:r>
        <w:rPr>
          <w:b/>
        </w:rPr>
        <w:t xml:space="preserve">Test the safeguard</w:t>
      </w:r>
      <w:r>
        <w:t xml:space="preserve"> with an out-of-scope question (a helicopter transfer rate). The expected output is the fallback sentence, not an invented answer.</w:t>
      </w:r>
    </w:p>
    <w:p>
      <w:pPr>
        <w:pStyle w:val="Heading2"/>
      </w:pPr>
      <w:r>
        <w:t xml:space="preserve">5. Evaluation (6 points)</w:t>
      </w:r>
    </w:p>
    <w:p>
      <w:pPr/>
      <w:r>
        <w:t xml:space="preserve">The pipeline is scored by a stronger judge model on 10 evaluation queries, tuned there, then scored once on 10 held-out test queries with the same settings.</w:t>
      </w:r>
    </w:p>
    <w:p>
      <w:pPr>
        <w:pStyle w:val="ListParagraph"/>
        <w:numPr>
          <w:ilvl w:val="0"/>
          <w:numId w:val="10"/>
        </w:numPr>
      </w:pPr>
      <w:r>
        <w:rPr>
          <w:b/>
        </w:rPr>
        <w:t xml:space="preserve">Load the evaluation data.</w:t>
      </w:r>
      <w:r>
        <w:t xml:space="preserve"> A loader reads </w:t>
      </w:r>
      <w:r>
        <w:rPr>
          <w:rStyle w:val="CodeChar"/>
        </w:rPr>
        <w:t xml:space="preserve">evaluation.csv</w:t>
      </w:r>
      <w:r>
        <w:t xml:space="preserve">, checks for the </w:t>
      </w:r>
      <w:r>
        <w:rPr>
          <w:rStyle w:val="CodeChar"/>
        </w:rPr>
        <w:t xml:space="preserve">question</w:t>
      </w:r>
      <w:r>
        <w:t xml:space="preserve">, </w:t>
      </w:r>
      <w:r>
        <w:rPr>
          <w:rStyle w:val="CodeChar"/>
        </w:rPr>
        <w:t xml:space="preserve">expected_answer</w:t>
      </w:r>
      <w:r>
        <w:t xml:space="preserve"> and </w:t>
      </w:r>
      <w:r>
        <w:rPr>
          <w:rStyle w:val="CodeChar"/>
        </w:rPr>
        <w:t xml:space="preserve">relevant_context</w:t>
      </w:r>
      <w:r>
        <w:t xml:space="preserve"> columns, and fills empty cells. It also accepts </w:t>
      </w:r>
      <w:r>
        <w:rPr>
          <w:rStyle w:val="CodeChar"/>
        </w:rPr>
        <w:t xml:space="preserve">.xlsx</w:t>
      </w:r>
      <w:r>
        <w:t xml:space="preserve">, since the brief names </w:t>
      </w:r>
      <w:r>
        <w:rPr>
          <w:rStyle w:val="CodeChar"/>
        </w:rPr>
        <w:t xml:space="preserve">test.xlsx</w:t>
      </w:r>
      <w:r>
        <w:t xml:space="preserve"> while the template reads </w:t>
      </w:r>
      <w:r>
        <w:rPr>
          <w:rStyle w:val="CodeChar"/>
        </w:rPr>
        <w:t xml:space="preserve">test.csv</w:t>
      </w:r>
      <w:r>
        <w:t xml:space="preserve">.</w:t>
      </w:r>
    </w:p>
    <w:p>
      <w:pPr>
        <w:pStyle w:val="ListParagraph"/>
        <w:numPr>
          <w:ilvl w:val="0"/>
          <w:numId w:val="10"/>
        </w:numPr>
      </w:pPr>
      <w:r>
        <w:rPr>
          <w:b/>
        </w:rPr>
        <w:t xml:space="preserve">Define the evaluation model.</w:t>
      </w:r>
      <w:r>
        <w:t xml:space="preserve"> </w:t>
      </w:r>
      <w:r>
        <w:rPr>
          <w:rStyle w:val="CodeChar"/>
        </w:rPr>
        <w:t xml:space="preserve">gpt-4o</w:t>
      </w:r>
      <w:r>
        <w:t xml:space="preserve"> acts as judge. A different, stronger model avoids the bias of a model grading its own answers.</w:t>
      </w:r>
    </w:p>
    <w:p>
      <w:pPr>
        <w:pStyle w:val="ListParagraph"/>
        <w:numPr>
          <w:ilvl w:val="0"/>
          <w:numId w:val="10"/>
        </w:numPr>
      </w:pPr>
      <w:r>
        <w:rPr>
          <w:b/>
        </w:rPr>
        <w:t xml:space="preserve">Define the four metrics</w:t>
      </w:r>
      <w:r>
        <w:t xml:space="preserve"> with DeepEval's GEval, each with step-by-step judging instructions and the threshold from the success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Compares</w:t>
            </w:r>
          </w:p>
        </w:tc>
        <w:tc>
          <w:tcPr>
            <w:tcW w:w="3120" w:type="dxa"/>
            <w:shd w:val="clear" w:color="auto" w:fill="F2F2F2"/>
          </w:tcPr>
          <w:p>
            <w:pPr/>
            <w:r>
              <w:t xml:space="preserve">Question it answers</w:t>
            </w:r>
          </w:p>
        </w:tc>
      </w:tr>
      <w:tr>
        <w:tc>
          <w:tcPr>
            <w:tcW w:w="3120" w:type="dxa"/>
          </w:tcPr>
          <w:p>
            <w:pPr/>
            <w:r>
              <w:t xml:space="preserve">Faithfulness</w:t>
            </w:r>
          </w:p>
        </w:tc>
        <w:tc>
          <w:tcPr>
            <w:tcW w:w="3120" w:type="dxa"/>
          </w:tcPr>
          <w:p>
            <w:pPr/>
            <w:r>
              <w:t xml:space="preserve">answer vs retrieved context</w:t>
            </w:r>
          </w:p>
        </w:tc>
        <w:tc>
          <w:tcPr>
            <w:tcW w:w="3120" w:type="dxa"/>
          </w:tcPr>
          <w:p>
            <w:pPr/>
            <w:r>
              <w:t xml:space="preserve">Is every claim supported by what was retrieved?</w:t>
            </w:r>
          </w:p>
        </w:tc>
      </w:tr>
      <w:tr>
        <w:tc>
          <w:tcPr>
            <w:tcW w:w="3120" w:type="dxa"/>
          </w:tcPr>
          <w:p>
            <w:pPr/>
            <w:r>
              <w:t xml:space="preserve">Contextual Recall</w:t>
            </w:r>
          </w:p>
        </w:tc>
        <w:tc>
          <w:tcPr>
            <w:tcW w:w="3120" w:type="dxa"/>
          </w:tcPr>
          <w:p>
            <w:pPr/>
            <w:r>
              <w:t xml:space="preserve">expected answer vs retrieved context</w:t>
            </w:r>
          </w:p>
        </w:tc>
        <w:tc>
          <w:tcPr>
            <w:tcW w:w="3120" w:type="dxa"/>
          </w:tcPr>
          <w:p>
            <w:pPr/>
            <w:r>
              <w:t xml:space="preserve">Did retrieval find everything the right answer needs?</w:t>
            </w:r>
          </w:p>
        </w:tc>
      </w:tr>
      <w:tr>
        <w:tc>
          <w:tcPr>
            <w:tcW w:w="3120" w:type="dxa"/>
          </w:tcPr>
          <w:p>
            <w:pPr/>
            <w:r>
              <w:t xml:space="preserve">Contextual Precision</w:t>
            </w:r>
          </w:p>
        </w:tc>
        <w:tc>
          <w:tcPr>
            <w:tcW w:w="3120" w:type="dxa"/>
          </w:tcPr>
          <w:p>
            <w:pPr/>
            <w:r>
              <w:t xml:space="preserve">question vs retrieved context</w:t>
            </w:r>
          </w:p>
        </w:tc>
        <w:tc>
          <w:tcPr>
            <w:tcW w:w="3120" w:type="dxa"/>
          </w:tcPr>
          <w:p>
            <w:pPr/>
            <w:r>
              <w:t xml:space="preserve">Is the retrieved text relevant, with the useful parts first?</w:t>
            </w:r>
          </w:p>
        </w:tc>
      </w:tr>
      <w:tr>
        <w:tc>
          <w:tcPr>
            <w:tcW w:w="3120" w:type="dxa"/>
          </w:tcPr>
          <w:p>
            <w:pPr/>
            <w:r>
              <w:t xml:space="preserve">Answer Relevancy</w:t>
            </w:r>
          </w:p>
        </w:tc>
        <w:tc>
          <w:tcPr>
            <w:tcW w:w="3120" w:type="dxa"/>
          </w:tcPr>
          <w:p>
            <w:pPr/>
            <w:r>
              <w:t xml:space="preserve">question vs answer</w:t>
            </w:r>
          </w:p>
        </w:tc>
        <w:tc>
          <w:tcPr>
            <w:tcW w:w="3120" w:type="dxa"/>
          </w:tcPr>
          <w:p>
            <w:pPr/>
            <w:r>
              <w:t xml:space="preserve">Does the answer address the question without padding?</w:t>
            </w:r>
          </w:p>
        </w:tc>
      </w:tr>
    </w:tbl>
    <w:p>
      <w:pPr>
        <w:pStyle w:val="ListParagraph"/>
        <w:numPr>
          <w:ilvl w:val="0"/>
          <w:numId w:val="11"/>
        </w:numPr>
      </w:pPr>
      <w:r>
        <w:rPr>
          <w:b/>
        </w:rPr>
        <w:t xml:space="preserve">Build the test cases.</w:t>
      </w:r>
      <w:r>
        <w:t xml:space="preserve"> For each query, </w:t>
      </w:r>
      <w:r>
        <w:rPr>
          <w:rStyle w:val="CodeChar"/>
        </w:rPr>
        <w:t xml:space="preserve">test_case_generator</w:t>
      </w:r>
      <w:r>
        <w:t xml:space="preserve"> runs the RAG pipeline and packs the question, generated answer, expected answer, retrieved chunks and ground-truth context (split on </w:t>
      </w:r>
      <w:r>
        <w:rPr>
          <w:rStyle w:val="CodeChar"/>
        </w:rPr>
        <w:t xml:space="preserve">&lt;&gt;</w:t>
      </w:r>
      <w:r>
        <w:t xml:space="preserve">) into an </w:t>
      </w:r>
      <w:r>
        <w:rPr>
          <w:rStyle w:val="CodeChar"/>
        </w:rPr>
        <w:t xml:space="preserve">LLMTestCase</w:t>
      </w:r>
      <w:r>
        <w:t xml:space="preserve">.</w:t>
      </w:r>
    </w:p>
    <w:p>
      <w:pPr>
        <w:pStyle w:val="ListParagraph"/>
        <w:numPr>
          <w:ilvl w:val="0"/>
          <w:numId w:val="11"/>
        </w:numPr>
      </w:pPr>
      <w:r>
        <w:rPr>
          <w:b/>
        </w:rPr>
        <w:t xml:space="preserve">Run the evaluation</w:t>
      </w:r>
      <w:r>
        <w:t xml:space="preserve"> with K = 4, temperature 0, top-p 1, max tokens 512. K = 4 is a starting balance: higher K raises recall on multi-document questions but lowers precision. Re-run with K = 3 and K = 5 and keep the best.</w:t>
      </w:r>
    </w:p>
    <w:p>
      <w:pPr>
        <w:pStyle w:val="ListParagraph"/>
        <w:numPr>
          <w:ilvl w:val="0"/>
          <w:numId w:val="11"/>
        </w:numPr>
      </w:pPr>
      <w:r>
        <w:rPr>
          <w:b/>
        </w:rPr>
        <w:t xml:space="preserve">Build the results table.</w:t>
      </w:r>
      <w:r>
        <w:t xml:space="preserve"> </w:t>
      </w:r>
      <w:r>
        <w:rPr>
          <w:rStyle w:val="CodeChar"/>
        </w:rPr>
        <w:t xml:space="preserve">create_evaluation_df</w:t>
      </w:r>
      <w:r>
        <w:t xml:space="preserve"> lists each query's four scores, composite score and routing label. The template's table uses three bands (Auto Answer above 0.75, Assisted Review 0.50 to 0.75, Manual Lookup below 0.50). The problem statement uses two, so a summary table measures "Queries Confidently Answered" as the share with a composite of 0.75 or more and marks each criterion Met or Not met.</w:t>
      </w:r>
    </w:p>
    <w:p>
      <w:pPr>
        <w:pStyle w:val="ListParagraph"/>
        <w:numPr>
          <w:ilvl w:val="0"/>
          <w:numId w:val="11"/>
        </w:numPr>
      </w:pPr>
      <w:r>
        <w:rPr>
          <w:b/>
        </w:rPr>
        <w:t xml:space="preserve">Load the test data and repeat</w:t>
      </w:r>
      <w:r>
        <w:t xml:space="preserve"> steps 4 to 6 with the same parameters and no further tuning.</w:t>
      </w:r>
    </w:p>
    <w:p>
      <w:pPr>
        <w:pStyle w:val="ListParagraph"/>
        <w:numPr>
          <w:ilvl w:val="0"/>
          <w:numId w:val="11"/>
        </w:numPr>
      </w:pPr>
      <w:r>
        <w:rPr>
          <w:b/>
        </w:rPr>
        <w:t xml:space="preserve">Compare the two sets</w:t>
      </w:r>
      <w:r>
        <w:t xml:space="preserve"> side by side. A large drop on the test set would indicate the settings were over-fitted to the evaluation queries.</w:t>
      </w:r>
    </w:p>
    <w:p>
      <w:pPr/>
      <w:r>
        <w:rPr>
          <w:b/>
        </w:rPr>
        <w:t xml:space="preserve">Reading the results.</w:t>
      </w:r>
      <w:r>
        <w:t xml:space="preserve"> LLM-as-a-judge scores vary between runs, and with 10 queries one query moves an average by 0.1. Treat a single run as a direction, and repeat runs before drawing firm conclusions.</w:t>
      </w:r>
    </w:p>
    <w:p>
      <w:pPr>
        <w:pStyle w:val="Heading2"/>
      </w:pPr>
      <w:r>
        <w:t xml:space="preserve">6. Deployment (24 points)</w:t>
      </w:r>
    </w:p>
    <w:p>
      <w:pPr/>
      <w:r>
        <w:t xml:space="preserve">The notebook writes a Flask backend and a Streamlit frontend, each with its own Dockerfile, pushes them to GitHub, and runs them as two containers in a GitHub Codespace.</w:t>
      </w:r>
    </w:p>
    <w:p>
      <w:pPr/>
      <w:r>
        <w:drawing>
          <wp:inline distT="0" distB="0" distL="0" distR="0">
            <wp:extent cx="5486400" cy="2914650"/>
            <wp:docPr id="1" name="image1" descr="deployed architecture · notebook, GitHub, Codespace, OpenAI"/>
            <a:graphic xmlns:a="http://schemas.openxmlformats.org/drawingml/2006/main">
              <a:graphicData uri="http://schemas.openxmlformats.org/drawingml/2006/picture">
                <pic:pic xmlns:pic="http://schemas.openxmlformats.org/drawingml/2006/picture">
                  <pic:nvPicPr>
                    <pic:cNvPr id="1" name="image1" descr="deployed architecture · notebook, GitHub, Codespace, OpenAI"/>
                    <pic:cNvPicPr/>
                  </pic:nvPicPr>
                  <pic:blipFill>
                    <a:blip r:embed="rId3"/>
                    <a:stretch>
                      <a:fillRect/>
                    </a:stretch>
                  </pic:blipFill>
                  <pic:spPr>
                    <a:xfrm>
                      <a:off x="0" y="0"/>
                      <a:ext cx="5486400" cy="2914650"/>
                    </a:xfrm>
                    <a:prstGeom prst="rect">
                      <a:avLst/>
                    </a:prstGeom>
                  </pic:spPr>
                </pic:pic>
              </a:graphicData>
            </a:graphic>
          </wp:inline>
        </w:drawing>
      </w:r>
    </w:p>
    <w:p>
      <w:pPr/>
      <w:r>
        <w:t xml:space="preserve">deployed architecture · notebook, GitHub, Codespace, OpenAI</w:t>
      </w:r>
    </w:p>
    <w:p>
      <w:pPr/>
      <w:r>
        <w:t xml:space="preserve">The backend is the only part that touches the index and the LLM; the frontend and the notebook reach it through the same HTTP endpoints.</w:t>
      </w:r>
    </w:p>
    <w:p>
      <w:pPr>
        <w:pStyle w:val="Heading3"/>
      </w:pPr>
      <w:r>
        <w:t xml:space="preserve">6.1 Backend (9 points)</w:t>
      </w:r>
    </w:p>
    <w:p>
      <w:pPr>
        <w:pStyle w:val="ListParagraph"/>
        <w:numPr>
          <w:ilvl w:val="0"/>
          <w:numId w:val="12"/>
        </w:numPr>
      </w:pPr>
      <w:r>
        <w:rPr>
          <w:b/>
        </w:rPr>
        <w:t xml:space="preserve">Serialize the vector database.</w:t>
      </w:r>
      <w:r>
        <w:t xml:space="preserve"> </w:t>
      </w:r>
      <w:r>
        <w:rPr>
          <w:rStyle w:val="CodeChar"/>
        </w:rPr>
        <w:t xml:space="preserve">vectorstore.save_local("backend_files/faiss_index")</w:t>
      </w:r>
      <w:r>
        <w:t xml:space="preserve"> writes </w:t>
      </w:r>
      <w:r>
        <w:rPr>
          <w:rStyle w:val="CodeChar"/>
        </w:rPr>
        <w:t xml:space="preserve">index.faiss</w:t>
      </w:r>
      <w:r>
        <w:t xml:space="preserve"> (the vectors) and </w:t>
      </w:r>
      <w:r>
        <w:rPr>
          <w:rStyle w:val="CodeChar"/>
        </w:rPr>
        <w:t xml:space="preserve">index.pkl</w:t>
      </w:r>
      <w:r>
        <w:t xml:space="preserve"> (chunk text and metadata). The backend loads these instead of re-converting and re-embedding the PDFs.</w:t>
      </w:r>
    </w:p>
    <w:p>
      <w:pPr>
        <w:pStyle w:val="ListParagraph"/>
        <w:numPr>
          <w:ilvl w:val="0"/>
          <w:numId w:val="12"/>
        </w:numPr>
      </w:pPr>
      <w:r>
        <w:rPr>
          <w:b/>
        </w:rPr>
        <w:t xml:space="preserve">Write </w:t>
      </w:r>
      <w:r>
        <w:rPr>
          <w:rStyle w:val="CodeChar"/>
          <w:b/>
        </w:rPr>
        <w:t xml:space="preserve">rag_utils.py</w:t>
      </w:r>
      <w:r>
        <w:rPr>
          <w:b/>
        </w:rPr>
        <w:t xml:space="preserve">.</w:t>
      </w:r>
      <w:r>
        <w:t xml:space="preserve"> The same </w:t>
      </w:r>
      <w:r>
        <w:rPr>
          <w:rStyle w:val="CodeChar"/>
        </w:rPr>
        <w:t xml:space="preserve">retrieve</w:t>
      </w:r>
      <w:r>
        <w:t xml:space="preserve">, </w:t>
      </w:r>
      <w:r>
        <w:rPr>
          <w:rStyle w:val="CodeChar"/>
        </w:rPr>
        <w:t xml:space="preserve">generate</w:t>
      </w:r>
      <w:r>
        <w:t xml:space="preserve"> and </w:t>
      </w:r>
      <w:r>
        <w:rPr>
          <w:rStyle w:val="CodeChar"/>
        </w:rPr>
        <w:t xml:space="preserve">rag</w:t>
      </w:r>
      <w:r>
        <w:t xml:space="preserve"> functions as the notebook, except credentials come from environment variables, which Codespaces fills from its secrets.</w:t>
      </w:r>
    </w:p>
    <w:p>
      <w:pPr>
        <w:pStyle w:val="ListParagraph"/>
        <w:numPr>
          <w:ilvl w:val="0"/>
          <w:numId w:val="12"/>
        </w:numPr>
      </w:pPr>
      <w:r>
        <w:rPr>
          <w:b/>
        </w:rPr>
        <w:t xml:space="preserve">Write </w:t>
      </w:r>
      <w:r>
        <w:rPr>
          <w:rStyle w:val="CodeChar"/>
          <w:b/>
        </w:rPr>
        <w:t xml:space="preserve">app.py</w:t>
      </w:r>
      <w:r>
        <w:rPr>
          <w:b/>
        </w:rPr>
        <w:t xml:space="preserve">.</w:t>
      </w:r>
      <w:r>
        <w:t xml:space="preserve"> Flask loads the embedding model and FAISS index once at startup and exposes: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Returns</w:t>
            </w:r>
          </w:p>
        </w:tc>
      </w:tr>
      <w:tr>
        <w:tc>
          <w:tcPr>
            <w:tcW w:w="4680" w:type="dxa"/>
          </w:tcPr>
          <w:p>
            <w:pPr/>
            <w:r>
              <w:rPr>
                <w:rStyle w:val="CodeChar"/>
              </w:rPr>
              <w:t xml:space="preserve">GET /</w:t>
            </w:r>
          </w:p>
        </w:tc>
        <w:tc>
          <w:tcPr>
            <w:tcW w:w="4680" w:type="dxa"/>
          </w:tcPr>
          <w:p>
            <w:pPr/>
            <w:r>
              <w:t xml:space="preserve">welcome message, used as a health check</w:t>
            </w:r>
          </w:p>
        </w:tc>
      </w:tr>
      <w:tr>
        <w:tc>
          <w:tcPr>
            <w:tcW w:w="4680" w:type="dxa"/>
          </w:tcPr>
          <w:p>
            <w:pPr/>
            <w:r>
              <w:rPr>
                <w:rStyle w:val="CodeChar"/>
              </w:rPr>
              <w:t xml:space="preserve">POST /v1/relevant_chunks</w:t>
            </w:r>
          </w:p>
        </w:tc>
        <w:tc>
          <w:tcPr>
            <w:tcW w:w="4680" w:type="dxa"/>
          </w:tcPr>
          <w:p>
            <w:pPr/>
            <w:r>
              <w:t xml:space="preserve">the top-k chunks only</w:t>
            </w:r>
          </w:p>
        </w:tc>
      </w:tr>
      <w:tr>
        <w:tc>
          <w:tcPr>
            <w:tcW w:w="4680" w:type="dxa"/>
          </w:tcPr>
          <w:p>
            <w:pPr/>
            <w:r>
              <w:rPr>
                <w:rStyle w:val="CodeChar"/>
              </w:rPr>
              <w:t xml:space="preserve">POST /v1/answer_with_relevant_chunks</w:t>
            </w:r>
          </w:p>
        </w:tc>
        <w:tc>
          <w:tcPr>
            <w:tcW w:w="4680" w:type="dxa"/>
          </w:tcPr>
          <w:p>
            <w:pPr/>
            <w:r>
              <w:t xml:space="preserve">the answer plus its chunks</w:t>
            </w:r>
          </w:p>
        </w:tc>
      </w:tr>
      <w:tr>
        <w:tc>
          <w:tcPr>
            <w:tcW w:w="4680" w:type="dxa"/>
          </w:tcPr>
          <w:p>
            <w:pPr/>
            <w:r>
              <w:rPr>
                <w:rStyle w:val="CodeChar"/>
              </w:rPr>
              <w:t xml:space="preserve">POST /v1/answer</w:t>
            </w:r>
          </w:p>
        </w:tc>
        <w:tc>
          <w:tcPr>
            <w:tcW w:w="4680" w:type="dxa"/>
          </w:tcPr>
          <w:p>
            <w:pPr/>
            <w:r>
              <w:t xml:space="preserve">the answer only</w:t>
            </w:r>
          </w:p>
        </w:tc>
      </w:tr>
    </w:tbl>
    <w:p>
      <w:pPr>
        <w:pStyle w:val="ListParagraph"/>
        <w:numPr>
          <w:ilvl w:val="0"/>
          <w:numId w:val="13"/>
        </w:numPr>
      </w:pPr>
      <w:r>
        <w:rPr>
          <w:b/>
        </w:rPr>
        <w:t xml:space="preserve">Write </w:t>
      </w:r>
      <w:r>
        <w:rPr>
          <w:rStyle w:val="CodeChar"/>
          <w:b/>
        </w:rPr>
        <w:t xml:space="preserve">requirements.txt</w:t>
      </w:r>
      <w:r>
        <w:t xml:space="preserve"> with pinned versions of Flask, Gunicorn, the LangChain packages, sentence-transformers and faiss-cpu.</w:t>
      </w:r>
    </w:p>
    <w:p>
      <w:pPr>
        <w:pStyle w:val="ListParagraph"/>
        <w:numPr>
          <w:ilvl w:val="0"/>
          <w:numId w:val="13"/>
        </w:numPr>
      </w:pPr>
      <w:r>
        <w:rPr>
          <w:b/>
        </w:rPr>
        <w:t xml:space="preserve">Write the Dockerfile.</w:t>
      </w:r>
      <w:r>
        <w:t xml:space="preserve"> It installs the CPU-only build of PyTorch to keep the image small, downloads the embedding model at build time, sets Hugging Face offline mode so the container never fetches at runtime, and starts Gunicorn with one worker and a 120-second timeout on port 7860.</w:t>
      </w:r>
    </w:p>
    <w:p>
      <w:pPr>
        <w:pStyle w:val="Heading3"/>
      </w:pPr>
      <w:r>
        <w:t xml:space="preserve">6.2 Frontend (9 points)</w:t>
      </w:r>
    </w:p>
    <w:p>
      <w:pPr>
        <w:pStyle w:val="ListParagraph"/>
        <w:numPr>
          <w:ilvl w:val="0"/>
          <w:numId w:val="14"/>
        </w:numPr>
      </w:pPr>
      <w:r>
        <w:rPr>
          <w:b/>
        </w:rPr>
        <w:t xml:space="preserve">Write the Streamlit </w:t>
      </w:r>
      <w:r>
        <w:rPr>
          <w:rStyle w:val="CodeChar"/>
          <w:b/>
        </w:rPr>
        <w:t xml:space="preserve">app.py</w:t>
      </w:r>
      <w:r>
        <w:rPr>
          <w:b/>
        </w:rPr>
        <w:t xml:space="preserve">.</w:t>
      </w:r>
      <w:r>
        <w:t xml:space="preserve"> A sidebar sets k, temperature and max tokens. A radio button chooses "Answer only" or "Answer + Relevant Chunks". In the second mode each chunk opens in an expander, which meets the requirement to show the supporting source with every answer. Connection and HTTP errors are shown as messages.</w:t>
      </w:r>
    </w:p>
    <w:p>
      <w:pPr>
        <w:pStyle w:val="ListParagraph"/>
        <w:numPr>
          <w:ilvl w:val="0"/>
          <w:numId w:val="14"/>
        </w:numPr>
      </w:pPr>
      <w:r>
        <w:rPr>
          <w:b/>
        </w:rPr>
        <w:t xml:space="preserve">Write </w:t>
      </w:r>
      <w:r>
        <w:rPr>
          <w:rStyle w:val="CodeChar"/>
          <w:b/>
        </w:rPr>
        <w:t xml:space="preserve">requirements.txt</w:t>
      </w:r>
      <w:r>
        <w:t xml:space="preserve"> (requests and streamlit).</w:t>
      </w:r>
    </w:p>
    <w:p>
      <w:pPr>
        <w:pStyle w:val="ListParagraph"/>
        <w:numPr>
          <w:ilvl w:val="0"/>
          <w:numId w:val="14"/>
        </w:numPr>
      </w:pPr>
      <w:r>
        <w:rPr>
          <w:b/>
        </w:rPr>
        <w:t xml:space="preserve">Write the Dockerfile</w:t>
      </w:r>
      <w:r>
        <w:t xml:space="preserve">, which runs Streamlit on port 8501, bound to 0.0.0.0 so it is reachable through the Codespace's forwarded URL.</w:t>
      </w:r>
    </w:p>
    <w:p>
      <w:pPr>
        <w:pStyle w:val="ListParagraph"/>
        <w:numPr>
          <w:ilvl w:val="0"/>
          <w:numId w:val="14"/>
        </w:numPr>
      </w:pPr>
      <w:r>
        <w:rPr>
          <w:b/>
        </w:rPr>
        <w:t xml:space="preserve">Push to GitHub.</w:t>
      </w:r>
      <w:r>
        <w:t xml:space="preserve"> The token is read from Colab Secrets (</w:t>
      </w:r>
      <w:r>
        <w:rPr>
          <w:rStyle w:val="CodeChar"/>
        </w:rPr>
        <w:t xml:space="preserve">git_token</w:t>
      </w:r>
      <w:r>
        <w:t xml:space="preserve">) or, locally, from a </w:t>
      </w:r>
      <w:r>
        <w:rPr>
          <w:rStyle w:val="CodeChar"/>
        </w:rPr>
        <w:t xml:space="preserve">GITHUB_TOKEN</w:t>
      </w:r>
      <w:r>
        <w:t xml:space="preserve"> variable or a prompt, so it never appears in the notebook. PyGithub creates </w:t>
      </w:r>
      <w:r>
        <w:rPr>
          <w:rStyle w:val="CodeChar"/>
        </w:rPr>
        <w:t xml:space="preserve">aurora-stay-qna</w:t>
      </w:r>
      <w:r>
        <w:t xml:space="preserve"> if needed and uploads or updates the backend files, the FAISS index and the frontend files.</w:t>
      </w:r>
    </w:p>
    <w:p>
      <w:pPr>
        <w:pStyle w:val="ListParagraph"/>
        <w:numPr>
          <w:ilvl w:val="0"/>
          <w:numId w:val="14"/>
        </w:numPr>
      </w:pPr>
      <w:r>
        <w:rPr>
          <w:b/>
        </w:rPr>
        <w:t xml:space="preserve">Deploy in Codespaces.</w:t>
      </w:r>
      <w:r>
        <w:t xml:space="preserve"> Add </w:t>
      </w:r>
      <w:r>
        <w:rPr>
          <w:rStyle w:val="CodeChar"/>
        </w:rPr>
        <w:t xml:space="preserve">OPENAI_API_KEY</w:t>
      </w:r>
      <w:r>
        <w:t xml:space="preserve"> and </w:t>
      </w:r>
      <w:r>
        <w:rPr>
          <w:rStyle w:val="CodeChar"/>
        </w:rPr>
        <w:t xml:space="preserve">OPENAI_API_BASE</w:t>
      </w:r>
      <w:r>
        <w:t xml:space="preserve"> as Codespace secrets, build and run both containers, and set ports 7860 and 8501 to Public (course documents: </w:t>
      </w:r>
      <w:r>
        <w:rPr>
          <w:i/>
        </w:rPr>
        <w:t xml:space="preserve">Adding Secrets to GitHub Codespaces</w:t>
      </w:r>
      <w:r>
        <w:t xml:space="preserve"> and </w:t>
      </w:r>
      <w:r>
        <w:rPr>
          <w:i/>
        </w:rPr>
        <w:t xml:space="preserve">Deploying Frontend and Backend on GitHub Codespaces</w:t>
      </w:r>
      <w:r>
        <w:t xml:space="preserve">).</w:t>
      </w:r>
    </w:p>
    <w:p>
      <w:pPr>
        <w:pStyle w:val="Heading3"/>
      </w:pPr>
      <w:r>
        <w:t xml:space="preserve">6.3 Inference (6 points)</w:t>
      </w:r>
    </w:p>
    <w:p>
      <w:pPr>
        <w:pStyle w:val="ListParagraph"/>
        <w:numPr>
          <w:ilvl w:val="0"/>
          <w:numId w:val="15"/>
        </w:numPr>
      </w:pPr>
      <w:r>
        <w:rPr>
          <w:b/>
        </w:rPr>
        <w:t xml:space="preserve">Set the forwarded URL</w:t>
      </w:r>
      <w:r>
        <w:t xml:space="preserve"> of port 7860 in </w:t>
      </w:r>
      <w:r>
        <w:rPr>
          <w:rStyle w:val="CodeChar"/>
        </w:rPr>
        <w:t xml:space="preserve">model_root_url</w:t>
      </w:r>
      <w:r>
        <w:t xml:space="preserve">. The cell stops with a message until the placeholder is replaced, and a health check calls </w:t>
      </w:r>
      <w:r>
        <w:rPr>
          <w:rStyle w:val="CodeChar"/>
        </w:rPr>
        <w:t xml:space="preserve">GET /</w:t>
      </w:r>
      <w:r>
        <w:t xml:space="preserve">.</w:t>
      </w:r>
    </w:p>
    <w:p>
      <w:pPr>
        <w:pStyle w:val="ListParagraph"/>
        <w:numPr>
          <w:ilvl w:val="0"/>
          <w:numId w:val="15"/>
        </w:numPr>
      </w:pPr>
      <w:r>
        <w:rPr>
          <w:b/>
        </w:rPr>
        <w:t xml:space="preserve">Retrieve chunks online.</w:t>
      </w:r>
      <w:r>
        <w:t xml:space="preserve"> Post a question with k = 4 to </w:t>
      </w:r>
      <w:r>
        <w:rPr>
          <w:rStyle w:val="CodeChar"/>
        </w:rPr>
        <w:t xml:space="preserve">/v1/relevant_chunks</w:t>
      </w:r>
      <w:r>
        <w:t xml:space="preserve">, check for </w:t>
      </w:r>
      <w:r>
        <w:rPr>
          <w:rStyle w:val="CodeChar"/>
        </w:rPr>
        <w:t xml:space="preserve">&lt;Response [200]&gt;</w:t>
      </w:r>
      <w:r>
        <w:t xml:space="preserve">, and print each returned chunk with its source.</w:t>
      </w:r>
    </w:p>
    <w:p>
      <w:pPr>
        <w:pStyle w:val="ListParagraph"/>
        <w:numPr>
          <w:ilvl w:val="0"/>
          <w:numId w:val="15"/>
        </w:numPr>
      </w:pPr>
      <w:r>
        <w:rPr>
          <w:b/>
        </w:rPr>
        <w:t xml:space="preserve">Generate an answer online.</w:t>
      </w:r>
      <w:r>
        <w:t xml:space="preserve"> Post the question with the evaluated settings (gpt-4o-mini, k = 4, temperature 0, top-p 1, max tokens 512) to </w:t>
      </w:r>
      <w:r>
        <w:rPr>
          <w:rStyle w:val="CodeChar"/>
        </w:rPr>
        <w:t xml:space="preserve">/v1/answer_with_relevant_chunks</w:t>
      </w:r>
      <w:r>
        <w:t xml:space="preserve">, then print the answer and its chunks. This is the payload the Streamlit app shows.</w:t>
      </w:r>
    </w:p>
    <w:p>
      <w:pPr>
        <w:pStyle w:val="ListParagraph"/>
        <w:numPr>
          <w:ilvl w:val="0"/>
          <w:numId w:val="15"/>
        </w:numPr>
      </w:pPr>
      <w:r>
        <w:rPr>
          <w:b/>
        </w:rPr>
        <w:t xml:space="preserve">Delete the Codespace</w:t>
      </w:r>
      <w:r>
        <w:t xml:space="preserve"> when finished, so it stops consuming resources.</w:t>
      </w:r>
    </w:p>
    <w:p>
      <w:pPr>
        <w:pStyle w:val="Heading2"/>
      </w:pPr>
      <w:r>
        <w:t xml:space="preserve">7. Insights, recommendations and submission (12 points)</w:t>
      </w:r>
    </w:p>
    <w:p>
      <w:pPr/>
      <w:r>
        <w:t xml:space="preserve">The insights section is generated from each run's own results, so its numbers always match the tables; the written conclusions around them must be revised to match what your run shows.</w:t>
      </w:r>
    </w:p>
    <w:p>
      <w:pPr/>
      <w:r>
        <w:rPr>
          <w:b/>
        </w:rPr>
        <w:t xml:space="preserve">How the section is built (4 points):</w:t>
      </w:r>
    </w:p>
    <w:p>
      <w:pPr>
        <w:pStyle w:val="ListParagraph"/>
        <w:numPr>
          <w:ilvl w:val="0"/>
          <w:numId w:val="16"/>
        </w:numPr>
      </w:pPr>
      <w:r>
        <w:t xml:space="preserve">A code cell writes a plain-language summary for each set: every metric against its threshold, the share of queries confidently answered, the metric with the least headroom, and the lowest-scoring question.</w:t>
      </w:r>
    </w:p>
    <w:p>
      <w:pPr>
        <w:pStyle w:val="ListParagraph"/>
        <w:numPr>
          <w:ilvl w:val="0"/>
          <w:numId w:val="16"/>
        </w:numPr>
      </w:pPr>
      <w:r>
        <w:t xml:space="preserve">It converts the test-set share into an indicative weekly figure out of 1,200 queries, labelled as an extrapolation from 10 queries.</w:t>
      </w:r>
    </w:p>
    <w:p>
      <w:pPr>
        <w:pStyle w:val="ListParagraph"/>
        <w:numPr>
          <w:ilvl w:val="0"/>
          <w:numId w:val="16"/>
        </w:numPr>
      </w:pPr>
      <w:r>
        <w:t xml:space="preserve">A table lists every query below the 0.75 cutoff across both sets, which is the starting point for error analysis.</w:t>
      </w:r>
    </w:p>
    <w:p>
      <w:pPr>
        <w:pStyle w:val="ListParagraph"/>
        <w:numPr>
          <w:ilvl w:val="0"/>
          <w:numId w:val="16"/>
        </w:numPr>
      </w:pPr>
      <w:r>
        <w:t xml:space="preserve">Written insights cover: retrieval sets the ceiling, multi-document questions are the hard cases, declining to answer is the safe failure, and 10 queries per set is a small evidence base.</w:t>
      </w:r>
    </w:p>
    <w:p>
      <w:pPr/>
      <w:r>
        <w:rPr>
          <w:b/>
        </w:rPr>
        <w:t xml:space="preserve">Recommendations in the notebook: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Recommendation</w:t>
            </w:r>
          </w:p>
        </w:tc>
        <w:tc>
          <w:tcPr>
            <w:tcW w:w="3120" w:type="dxa"/>
            <w:shd w:val="clear" w:color="auto" w:fill="F2F2F2"/>
          </w:tcPr>
          <w:p>
            <w:pPr/>
            <w:r>
              <w:t xml:space="preserve">Why</w:t>
            </w:r>
          </w:p>
        </w:tc>
      </w:tr>
      <w:tr>
        <w:tc>
          <w:tcPr>
            <w:tcW w:w="3120" w:type="dxa"/>
          </w:tcPr>
          <w:p>
            <w:pPr/>
            <w:r>
              <w:t xml:space="preserve">1</w:t>
            </w:r>
          </w:p>
        </w:tc>
        <w:tc>
          <w:tcPr>
            <w:tcW w:w="3120" w:type="dxa"/>
          </w:tcPr>
          <w:p>
            <w:pPr/>
            <w:r>
              <w:t xml:space="preserve">Internal pilot with sources always shown</w:t>
            </w:r>
          </w:p>
        </w:tc>
        <w:tc>
          <w:tcPr>
            <w:tcW w:w="3120" w:type="dxa"/>
          </w:tcPr>
          <w:p>
            <w:pPr/>
            <w:r>
              <w:t xml:space="preserve">staff verify each answer before relaying it</w:t>
            </w:r>
          </w:p>
        </w:tc>
      </w:tr>
      <w:tr>
        <w:tc>
          <w:tcPr>
            <w:tcW w:w="3120" w:type="dxa"/>
          </w:tcPr>
          <w:p>
            <w:pPr/>
            <w:r>
              <w:t xml:space="preserve">2</w:t>
            </w:r>
          </w:p>
        </w:tc>
        <w:tc>
          <w:tcPr>
            <w:tcW w:w="3120" w:type="dxa"/>
          </w:tcPr>
          <w:p>
            <w:pPr/>
            <w:r>
              <w:t xml:space="preserve">Grow the labelled set to 150 to 200 real queries</w:t>
            </w:r>
          </w:p>
        </w:tc>
        <w:tc>
          <w:tcPr>
            <w:tcW w:w="3120" w:type="dxa"/>
          </w:tcPr>
          <w:p>
            <w:pPr/>
            <w:r>
              <w:t xml:space="preserve">decisions should not rest on 10 queries and one judge run</w:t>
            </w:r>
          </w:p>
        </w:tc>
      </w:tr>
      <w:tr>
        <w:tc>
          <w:tcPr>
            <w:tcW w:w="3120" w:type="dxa"/>
          </w:tcPr>
          <w:p>
            <w:pPr/>
            <w:r>
              <w:t xml:space="preserve">3</w:t>
            </w:r>
          </w:p>
        </w:tc>
        <w:tc>
          <w:tcPr>
            <w:tcW w:w="3120" w:type="dxa"/>
          </w:tcPr>
          <w:p>
            <w:pPr/>
            <w:r>
              <w:t xml:space="preserve">Route live answers on reference-free signals</w:t>
            </w:r>
          </w:p>
        </w:tc>
        <w:tc>
          <w:tcPr>
            <w:tcW w:w="3120" w:type="dxa"/>
          </w:tcPr>
          <w:p>
            <w:pPr/>
            <w:r>
              <w:t xml:space="preserve">Contextual Recall needs a known answer, so it exists only offline</w:t>
            </w:r>
          </w:p>
        </w:tc>
      </w:tr>
      <w:tr>
        <w:tc>
          <w:tcPr>
            <w:tcW w:w="3120" w:type="dxa"/>
          </w:tcPr>
          <w:p>
            <w:pPr/>
            <w:r>
              <w:t xml:space="preserve">4</w:t>
            </w:r>
          </w:p>
        </w:tc>
        <w:tc>
          <w:tcPr>
            <w:tcW w:w="3120" w:type="dxa"/>
          </w:tcPr>
          <w:p>
            <w:pPr/>
            <w:r>
              <w:t xml:space="preserve">Always escalate sensitive topics</w:t>
            </w:r>
          </w:p>
        </w:tc>
        <w:tc>
          <w:tcPr>
            <w:tcW w:w="3120" w:type="dxa"/>
          </w:tcPr>
          <w:p>
            <w:pPr/>
            <w:r>
              <w:t xml:space="preserve">safety, discrimination, privacy, disputes and legal matters follow the escalation matrix</w:t>
            </w:r>
          </w:p>
        </w:tc>
      </w:tr>
      <w:tr>
        <w:tc>
          <w:tcPr>
            <w:tcW w:w="3120" w:type="dxa"/>
          </w:tcPr>
          <w:p>
            <w:pPr/>
            <w:r>
              <w:t xml:space="preserve">5</w:t>
            </w:r>
          </w:p>
        </w:tc>
        <w:tc>
          <w:tcPr>
            <w:tcW w:w="3120" w:type="dxa"/>
          </w:tcPr>
          <w:p>
            <w:pPr/>
            <w:r>
              <w:t xml:space="preserve">Tag chunks by property and policy area</w:t>
            </w:r>
          </w:p>
        </w:tc>
        <w:tc>
          <w:tcPr>
            <w:tcW w:w="3120" w:type="dxa"/>
          </w:tcPr>
          <w:p>
            <w:pPr/>
            <w:r>
              <w:t xml:space="preserve">3 to 4 new properties a year need property-aware retrieval</w:t>
            </w:r>
          </w:p>
        </w:tc>
      </w:tr>
      <w:tr>
        <w:tc>
          <w:tcPr>
            <w:tcW w:w="3120" w:type="dxa"/>
          </w:tcPr>
          <w:p>
            <w:pPr/>
            <w:r>
              <w:t xml:space="preserve">6</w:t>
            </w:r>
          </w:p>
        </w:tc>
        <w:tc>
          <w:tcPr>
            <w:tcW w:w="3120" w:type="dxa"/>
          </w:tcPr>
          <w:p>
            <w:pPr/>
            <w:r>
              <w:t xml:space="preserve">Assign document owners; re-index on change</w:t>
            </w:r>
          </w:p>
        </w:tc>
        <w:tc>
          <w:tcPr>
            <w:tcW w:w="3120" w:type="dxa"/>
          </w:tcPr>
          <w:p>
            <w:pPr/>
            <w:r>
              <w:t xml:space="preserve">a stale index gives faithful answers to an outdated policy</w:t>
            </w:r>
          </w:p>
        </w:tc>
      </w:tr>
      <w:tr>
        <w:tc>
          <w:tcPr>
            <w:tcW w:w="3120" w:type="dxa"/>
          </w:tcPr>
          <w:p>
            <w:pPr/>
            <w:r>
              <w:t xml:space="preserve">7</w:t>
            </w:r>
          </w:p>
        </w:tc>
        <w:tc>
          <w:tcPr>
            <w:tcW w:w="3120" w:type="dxa"/>
          </w:tcPr>
          <w:p>
            <w:pPr/>
            <w:r>
              <w:t xml:space="preserve">Add sign-in, a private repo and internal hosting</w:t>
            </w:r>
          </w:p>
        </w:tc>
        <w:tc>
          <w:tcPr>
            <w:tcW w:w="3120" w:type="dxa"/>
          </w:tcPr>
          <w:p>
            <w:pPr/>
            <w:r>
              <w:t xml:space="preserve">the POC's API, ports and repository are public</w:t>
            </w:r>
          </w:p>
        </w:tc>
      </w:tr>
      <w:tr>
        <w:tc>
          <w:tcPr>
            <w:tcW w:w="3120" w:type="dxa"/>
          </w:tcPr>
          <w:p>
            <w:pPr/>
            <w:r>
              <w:t xml:space="preserve">8</w:t>
            </w:r>
          </w:p>
        </w:tc>
        <w:tc>
          <w:tcPr>
            <w:tcW w:w="3120" w:type="dxa"/>
          </w:tcPr>
          <w:p>
            <w:pPr/>
            <w:r>
              <w:t xml:space="preserve">Track auto-answer share, overrides and errors</w:t>
            </w:r>
          </w:p>
        </w:tc>
        <w:tc>
          <w:tcPr>
            <w:tcW w:w="3120" w:type="dxa"/>
          </w:tcPr>
          <w:p>
            <w:pPr/>
            <w:r>
              <w:t xml:space="preserve">compare against the 15% to 20% manual error rate</w:t>
            </w:r>
          </w:p>
        </w:tc>
      </w:tr>
      <w:tr>
        <w:tc>
          <w:tcPr>
            <w:tcW w:w="3120" w:type="dxa"/>
          </w:tcPr>
          <w:p>
            <w:pPr/>
            <w:r>
              <w:t xml:space="preserve">9</w:t>
            </w:r>
          </w:p>
        </w:tc>
        <w:tc>
          <w:tcPr>
            <w:tcW w:w="3120" w:type="dxa"/>
          </w:tcPr>
          <w:p>
            <w:pPr/>
            <w:r>
              <w:t xml:space="preserve">Use it for onboarding</w:t>
            </w:r>
          </w:p>
        </w:tc>
        <w:tc>
          <w:tcPr>
            <w:tcW w:w="3120" w:type="dxa"/>
          </w:tcPr>
          <w:p>
            <w:pPr/>
            <w:r>
              <w:t xml:space="preserve">offsets knowledge lost to 45% annual turnover</w:t>
            </w:r>
          </w:p>
        </w:tc>
      </w:tr>
    </w:tbl>
    <w:p>
      <w:pPr/>
      <w:r>
        <w:rPr>
          <w:b/>
        </w:rPr>
        <w:t xml:space="preserve">Changes from the course template:</w:t>
      </w:r>
    </w:p>
    <w:p>
      <w:pPr>
        <w:pStyle w:val="ListParagraph"/>
        <w:numPr>
          <w:ilvl w:val="0"/>
          <w:numId w:val="17"/>
        </w:numPr>
      </w:pPr>
      <w:r>
        <w:rPr>
          <w:b/>
        </w:rPr>
        <w:t xml:space="preserve">Deployed prompt.</w:t>
      </w:r>
      <w:r>
        <w:t xml:space="preserve"> </w:t>
      </w:r>
      <w:r>
        <w:rPr>
          <w:rStyle w:val="CodeChar"/>
        </w:rPr>
        <w:t xml:space="preserve">rag_utils.py</w:t>
      </w:r>
      <w:r>
        <w:t xml:space="preserve"> described medical insurance policies; its prompt now describes hotel policies and uses the evaluated rules. The Streamlit example question is now a hotel question. No logic, endpoint or Dockerfile changed.</w:t>
      </w:r>
    </w:p>
    <w:p>
      <w:pPr>
        <w:pStyle w:val="ListParagraph"/>
        <w:numPr>
          <w:ilvl w:val="0"/>
          <w:numId w:val="17"/>
        </w:numPr>
      </w:pPr>
      <w:r>
        <w:rPr>
          <w:rStyle w:val="CodeChar"/>
          <w:b/>
        </w:rPr>
        <w:t xml:space="preserve">test_case_generator</w:t>
      </w:r>
      <w:r>
        <w:t xml:space="preserve"> now uses the temperature, top-p and max-token values passed to it instead of globals.</w:t>
      </w:r>
    </w:p>
    <w:p>
      <w:pPr>
        <w:pStyle w:val="ListParagraph"/>
        <w:numPr>
          <w:ilvl w:val="0"/>
          <w:numId w:val="17"/>
        </w:numPr>
      </w:pPr>
      <w:r>
        <w:rPr>
          <w:b/>
        </w:rPr>
        <w:t xml:space="preserve">Results table</w:t>
      </w:r>
      <w:r>
        <w:t xml:space="preserve"> reads each question label from its own result, so labels cannot drift from their scores.</w:t>
      </w:r>
    </w:p>
    <w:p>
      <w:pPr>
        <w:pStyle w:val="ListParagraph"/>
        <w:numPr>
          <w:ilvl w:val="0"/>
          <w:numId w:val="17"/>
        </w:numPr>
      </w:pPr>
      <w:r>
        <w:rPr>
          <w:b/>
        </w:rPr>
        <w:t xml:space="preserve">Added cells:</w:t>
      </w:r>
      <w:r>
        <w:t xml:space="preserve"> pre-flight file check, structure profile, chunk statistics, truncation check, out-of-scope test, success-criteria summaries and the set comparison.</w:t>
      </w:r>
    </w:p>
    <w:p>
      <w:pPr>
        <w:pStyle w:val="ListParagraph"/>
        <w:numPr>
          <w:ilvl w:val="0"/>
          <w:numId w:val="17"/>
        </w:numPr>
      </w:pPr>
      <w:r>
        <w:rPr>
          <w:b/>
        </w:rPr>
        <w:t xml:space="preserve">Environment:</w:t>
      </w:r>
      <w:r>
        <w:t xml:space="preserve"> installs and the GitHub token step work in both Colab and VS Code; the test file may be CSV or Excel.</w:t>
      </w:r>
    </w:p>
    <w:p>
      <w:pPr/>
      <w:r>
        <w:rPr>
          <w:b/>
        </w:rPr>
        <w:t xml:space="preserve">Presentation and notebook quality (8 points):</w:t>
      </w:r>
      <w:r>
        <w:t xml:space="preserve"> every code section is preceded by a markdown cell giving its reasoning, non-obvious lines carry comments, and outputs are displayed as tables rather than only computed.</w:t>
      </w:r>
    </w:p>
    <w:p>
      <w:pPr/>
      <w:r>
        <w:rPr>
          <w:b/>
        </w:rPr>
        <w:t xml:space="preserve">Submission checklist:</w:t>
      </w:r>
    </w:p>
    <w:p>
      <w:pPr>
        <w:pStyle w:val="ListParagraph"/>
        <w:numPr>
          <w:ilvl w:val="0"/>
          <w:numId w:val="18"/>
        </w:numPr>
      </w:pPr>
      <w:r>
        <w:t xml:space="preserve">☐ Restart the kernel and run every cell top to bottom with no errors</w:t>
      </w:r>
    </w:p>
    <w:p>
      <w:pPr>
        <w:pStyle w:val="ListParagraph"/>
        <w:numPr>
          <w:ilvl w:val="0"/>
          <w:numId w:val="18"/>
        </w:numPr>
      </w:pPr>
      <w:r>
        <w:t xml:space="preserve">☐ Re-run the evaluation with K = 3 and K = 5; keep the best and update section 5's K</w:t>
      </w:r>
    </w:p>
    <w:p>
      <w:pPr>
        <w:pStyle w:val="ListParagraph"/>
        <w:numPr>
          <w:ilvl w:val="0"/>
          <w:numId w:val="18"/>
        </w:numPr>
      </w:pPr>
      <w:r>
        <w:t xml:space="preserve">☐ Confirm the document observations against the structure table and heading list</w:t>
      </w:r>
    </w:p>
    <w:p>
      <w:pPr>
        <w:pStyle w:val="ListParagraph"/>
        <w:numPr>
          <w:ilvl w:val="0"/>
          <w:numId w:val="18"/>
        </w:numPr>
      </w:pPr>
      <w:r>
        <w:t xml:space="preserve">☐ Rewrite the insights and conclusion in your own words to match your results</w:t>
      </w:r>
    </w:p>
    <w:p>
      <w:pPr>
        <w:pStyle w:val="ListParagraph"/>
        <w:numPr>
          <w:ilvl w:val="0"/>
          <w:numId w:val="18"/>
        </w:numPr>
      </w:pPr>
      <w:r>
        <w:t xml:space="preserve">☐ Run the inference cells against the live Codespace and keep the outputs</w:t>
      </w:r>
    </w:p>
    <w:p>
      <w:pPr>
        <w:pStyle w:val="ListParagraph"/>
        <w:numPr>
          <w:ilvl w:val="0"/>
          <w:numId w:val="18"/>
        </w:numPr>
      </w:pPr>
      <w:r>
        <w:t xml:space="preserve">☐ Export to HTML (Colab: File &gt; Download &gt; .html; VS Code: Export &gt; HTML, or </w:t>
      </w:r>
      <w:r>
        <w:rPr>
          <w:rStyle w:val="CodeChar"/>
        </w:rPr>
        <w:t xml:space="preserve">jupyter nbconvert --to html</w:t>
      </w:r>
      <w:r>
        <w:t xml:space="preserve">)</w:t>
      </w:r>
    </w:p>
    <w:p>
      <w:pPr>
        <w:pStyle w:val="ListParagraph"/>
        <w:numPr>
          <w:ilvl w:val="0"/>
          <w:numId w:val="18"/>
        </w:numPr>
      </w:pPr>
      <w:r>
        <w:t xml:space="preserve">☐ Open the HTML in a browser to confirm it renders, then submit only the .html file</w:t>
      </w:r>
    </w:p>
    <w:p>
      <w:pPr>
        <w:pStyle w:val="ListParagraph"/>
        <w:numPr>
          <w:ilvl w:val="0"/>
          <w:numId w:val="18"/>
        </w:numPr>
      </w:pPr>
      <w:r>
        <w:t xml:space="preserve">☐ Delete the Codespace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4"/>
    </w:lvlOverride>
  </w:num>
  <w:num w:numId="6">
    <w:abstractNumId w:val="1"/>
    <w:lvlOverride w:ilvl="0">
      <w:startOverride w:val="1"/>
    </w:lvlOverride>
  </w:num>
  <w:num w:numId="7">
    <w:abstractNumId w:val="1"/>
    <w:lvlOverride w:ilvl="0">
      <w:startOverride w:val="1"/>
    </w:lvlOverride>
  </w:num>
  <w:num w:numId="8">
    <w:abstractNumId w:val="1"/>
    <w:lvlOverride w:ilvl="0">
      <w:startOverride w:val="3"/>
    </w:lvlOverride>
  </w:num>
  <w:num w:numId="9">
    <w:abstractNumId w:val="1"/>
    <w:lvlOverride w:ilvl="0">
      <w:startOverride w:val="5"/>
    </w:lvlOverride>
  </w:num>
  <w:num w:numId="10">
    <w:abstractNumId w:val="1"/>
    <w:lvlOverride w:ilvl="0">
      <w:startOverride w:val="1"/>
    </w:lvlOverride>
  </w:num>
  <w:num w:numId="11">
    <w:abstractNumId w:val="1"/>
    <w:lvlOverride w:ilvl="0">
      <w:startOverride w:val="4"/>
    </w:lvlOverride>
  </w:num>
  <w:num w:numId="12">
    <w:abstractNumId w:val="1"/>
    <w:lvlOverride w:ilvl="0">
      <w:startOverride w:val="1"/>
    </w:lvlOverride>
  </w:num>
  <w:num w:numId="13">
    <w:abstractNumId w:val="1"/>
    <w:lvlOverride w:ilvl="0">
      <w:startOverride w:val="4"/>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AuroraStay RAG Technical Write-up</dc:title>
  <dc:description>Claude Docs node/dca5cdd7-eaca@10 docx-w6</dc:description>
  <cp:revision>10</cp:revision>
</cp:coreProperties>
</file>