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D0058B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</w:rPr>
        <w:t>Stephen Dornu Dugbartey</w:t>
      </w:r>
    </w:p>
    <w:p w14:paraId="17D6CFE2">
      <w:pPr>
        <w:pStyle w:val="1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Edmonton, Alberta – Canada | +1 (825) 777-0501 | </w:t>
      </w:r>
      <w:r>
        <w:fldChar w:fldCharType="begin"/>
      </w:r>
      <w:r>
        <w:instrText xml:space="preserve"> HYPERLINK "mailto:ddstephen07@gmail.com" </w:instrText>
      </w:r>
      <w:r>
        <w:fldChar w:fldCharType="separate"/>
      </w:r>
      <w:r>
        <w:rPr>
          <w:rStyle w:val="7"/>
          <w:rFonts w:ascii="Times New Roman" w:hAnsi="Times New Roman" w:cs="Times New Roman"/>
          <w:sz w:val="24"/>
          <w:szCs w:val="24"/>
        </w:rPr>
        <w:t>ddstephen07@gmail.com</w:t>
      </w:r>
      <w:r>
        <w:rPr>
          <w:rStyle w:val="7"/>
          <w:rFonts w:ascii="Times New Roman" w:hAnsi="Times New Roman" w:cs="Times New Roman"/>
          <w:sz w:val="24"/>
          <w:szCs w:val="24"/>
        </w:rPr>
        <w:fldChar w:fldCharType="end"/>
      </w:r>
    </w:p>
    <w:p w14:paraId="0320100E">
      <w:pPr>
        <w:pStyle w:val="10"/>
        <w:jc w:val="center"/>
        <w:rPr>
          <w:rFonts w:ascii="Times New Roman" w:hAnsi="Times New Roman" w:cs="Times New Roman"/>
          <w:sz w:val="24"/>
          <w:szCs w:val="24"/>
        </w:rPr>
      </w:pPr>
    </w:p>
    <w:p w14:paraId="5FA1B026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Project: Risk Management</w:t>
      </w:r>
    </w:p>
    <w:p w14:paraId="55F30C0A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Fraud Detection and Analysis with 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lang w:val="en-CA"/>
        </w:rPr>
        <w:t>Social Benefit Payments</w:t>
      </w:r>
    </w:p>
    <w:p w14:paraId="6B44E5FE">
      <w:pPr>
        <w:spacing w:after="0" w:line="276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7D6F0E1A">
      <w:pPr>
        <w:spacing w:after="0" w:line="276" w:lineRule="auto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1.0 Project Background</w:t>
      </w:r>
    </w:p>
    <w:p w14:paraId="253AA410">
      <w:pPr>
        <w:spacing w:after="0" w:line="276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CA"/>
        </w:rPr>
        <w:t>Governments have demonstrated interest in caring for children, youth and family in a more sustainable manner. With such high interest comes with high budget allocation creating interest and opportunities for deliberate errors, malicious interest or fraud. Officers and i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nsiders, third-party providers, and c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CA"/>
        </w:rPr>
        <w:t>lients my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exploit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CA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weaknesses in 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CA"/>
        </w:rPr>
        <w:t>the system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.</w:t>
      </w:r>
    </w:p>
    <w:p w14:paraId="7D97E562">
      <w:pPr>
        <w:spacing w:after="0" w:line="276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544D2966">
      <w:pPr>
        <w:spacing w:after="0" w:line="276" w:lineRule="auto"/>
        <w:jc w:val="both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Project Objective:</w:t>
      </w:r>
    </w:p>
    <w:p w14:paraId="7854F512">
      <w:pPr>
        <w:spacing w:after="0" w:line="276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The objective of this project analyzes various risks capable of causing fraud associated with the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CA"/>
        </w:rPr>
        <w:t xml:space="preserve"> on boarding and payments of social benefits to caregivers for children, youth ad families.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The objective is broken into four (4) areas: </w:t>
      </w:r>
    </w:p>
    <w:p w14:paraId="54B1CD9D">
      <w:pPr>
        <w:pStyle w:val="9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Identify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CA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and analyze risk areas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CA"/>
        </w:rPr>
        <w:t xml:space="preserve"> in relating to duplicate payments, over payments, payments made to inactive caregivers and unapproved payments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</w:t>
      </w:r>
    </w:p>
    <w:p w14:paraId="5000471C">
      <w:pPr>
        <w:pStyle w:val="9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The risk matrix applied to each risk area assessed to determine its likelihood and impact to inform priority and resource allocation</w:t>
      </w:r>
    </w:p>
    <w:p w14:paraId="7F9B53F8">
      <w:pPr>
        <w:pStyle w:val="9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Recommend risk prevention, detection, and correction techniques guided by 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CA"/>
        </w:rPr>
        <w:t>COSO Internal Control - Integrated Framework</w:t>
      </w:r>
    </w:p>
    <w:p w14:paraId="36CEB91E">
      <w:pPr>
        <w:spacing w:after="0" w:line="276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31DA784A">
      <w:pPr>
        <w:spacing w:after="0" w:line="276" w:lineRule="auto"/>
        <w:jc w:val="both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Methodology:</w:t>
      </w:r>
    </w:p>
    <w:p w14:paraId="24942CB1">
      <w:pPr>
        <w:spacing w:after="0" w:line="276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The following methods were deployed in </w:t>
      </w:r>
    </w:p>
    <w:p w14:paraId="0383116E">
      <w:pPr>
        <w:pStyle w:val="9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Acquired sample datasets relating to fraud transactions in the use of electronics banking services. 1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CA"/>
        </w:rPr>
        <w:t xml:space="preserve">58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transactions were generated which includes information relating to: </w:t>
      </w:r>
      <w:r>
        <w:rPr>
          <w:rFonts w:ascii="Times New Roman" w:hAnsi="Times New Roman" w:eastAsia="Times New Roman" w:cs="Times New Roman"/>
          <w:b/>
          <w:bCs/>
          <w:i/>
          <w:iCs/>
          <w:color w:val="000000"/>
          <w:sz w:val="24"/>
          <w:szCs w:val="24"/>
        </w:rPr>
        <w:t>Transaction ID,</w:t>
      </w:r>
      <w:r>
        <w:rPr>
          <w:rFonts w:hint="default" w:ascii="Times New Roman" w:hAnsi="Times New Roman" w:eastAsia="Times New Roman" w:cs="Times New Roman"/>
          <w:b/>
          <w:bCs/>
          <w:i/>
          <w:iCs/>
          <w:color w:val="000000"/>
          <w:sz w:val="24"/>
          <w:szCs w:val="24"/>
          <w:lang w:val="en-CA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color w:val="000000"/>
          <w:sz w:val="24"/>
          <w:szCs w:val="24"/>
        </w:rPr>
        <w:t xml:space="preserve">Transaction date, </w:t>
      </w:r>
      <w:r>
        <w:rPr>
          <w:rFonts w:hint="default" w:ascii="Times New Roman" w:hAnsi="Times New Roman" w:eastAsia="Times New Roman" w:cs="Times New Roman"/>
          <w:b/>
          <w:bCs/>
          <w:i/>
          <w:iCs/>
          <w:color w:val="000000"/>
          <w:sz w:val="24"/>
          <w:szCs w:val="24"/>
          <w:lang w:val="en-CA"/>
        </w:rPr>
        <w:t>Funding type, Amount, Caregiver ID, Caregiver name, Caregiver address, Date first registered, Caregiver active status, Transaction approved status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</w:p>
    <w:p w14:paraId="7D7A8E1E">
      <w:pPr>
        <w:pStyle w:val="9"/>
        <w:spacing w:after="0" w:line="276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14B613AE">
      <w:pPr>
        <w:pStyle w:val="9"/>
        <w:numPr>
          <w:ilvl w:val="0"/>
          <w:numId w:val="2"/>
        </w:numPr>
        <w:spacing w:after="0" w:line="276" w:lineRule="auto"/>
        <w:jc w:val="both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  <w:lang w:val="en-CA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CA"/>
        </w:rPr>
        <w:t>The datasets was sorted and other outcomes were ascertained using pivot tables</w:t>
      </w:r>
    </w:p>
    <w:p w14:paraId="486E8279">
      <w:pPr>
        <w:pStyle w:val="9"/>
        <w:spacing w:after="0" w:line="276" w:lineRule="auto"/>
        <w:ind w:left="0" w:leftChars="0" w:firstLine="0" w:firstLineChars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4FFED278">
      <w:pPr>
        <w:pStyle w:val="9"/>
        <w:spacing w:after="0" w:line="276" w:lineRule="auto"/>
        <w:ind w:left="0" w:leftChars="0" w:firstLine="0" w:firstLineChars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34D92F4A">
      <w:pPr>
        <w:pStyle w:val="9"/>
        <w:spacing w:after="0" w:line="276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05F11B27">
      <w:pPr>
        <w:pStyle w:val="9"/>
        <w:spacing w:after="0" w:line="276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36EBB4B7">
      <w:pPr>
        <w:pStyle w:val="9"/>
        <w:spacing w:after="0" w:line="276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53CDFE10">
      <w:pPr>
        <w:pStyle w:val="9"/>
        <w:spacing w:after="0" w:line="276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57BBF4DA">
      <w:pPr>
        <w:pStyle w:val="9"/>
        <w:spacing w:after="0" w:line="276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77C8C749">
      <w:pPr>
        <w:pStyle w:val="9"/>
        <w:spacing w:after="0" w:line="276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3D47B9EE">
      <w:pPr>
        <w:pStyle w:val="9"/>
        <w:spacing w:after="0" w:line="276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4E3D71C0">
      <w:pPr>
        <w:pStyle w:val="9"/>
        <w:spacing w:after="0" w:line="276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41E38D0C">
      <w:pPr>
        <w:pStyle w:val="9"/>
        <w:spacing w:after="0" w:line="276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696B769D">
      <w:pPr>
        <w:pStyle w:val="9"/>
        <w:spacing w:after="0" w:line="276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16907426">
      <w:pPr>
        <w:spacing w:after="0" w:line="276" w:lineRule="auto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2.0 Project Outcomes</w:t>
      </w:r>
    </w:p>
    <w:p w14:paraId="5E0EB5C5">
      <w:pPr>
        <w:spacing w:after="0" w:line="276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After analyzing the generated datasets, s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CA"/>
        </w:rPr>
        <w:t>even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(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CA"/>
        </w:rPr>
        <w:t>7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) risk areas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CA"/>
        </w:rPr>
        <w:t xml:space="preserve"> of focus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were identified: </w:t>
      </w:r>
    </w:p>
    <w:p w14:paraId="0682DFD1">
      <w:pPr>
        <w:pStyle w:val="9"/>
        <w:numPr>
          <w:ilvl w:val="0"/>
          <w:numId w:val="3"/>
        </w:numPr>
        <w:tabs>
          <w:tab w:val="clear" w:pos="420"/>
        </w:tabs>
        <w:spacing w:after="0" w:line="276" w:lineRule="auto"/>
        <w:ind w:left="660" w:leftChars="0" w:hanging="440" w:firstLineChars="0"/>
        <w:jc w:val="both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  <w:lang w:val="en-CA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  <w:lang w:val="en-CA"/>
        </w:rPr>
        <w:t>Funding Type Proportions</w:t>
      </w:r>
    </w:p>
    <w:p w14:paraId="2D1266DD">
      <w:pPr>
        <w:pStyle w:val="9"/>
        <w:numPr>
          <w:ilvl w:val="0"/>
          <w:numId w:val="3"/>
        </w:numPr>
        <w:tabs>
          <w:tab w:val="clear" w:pos="420"/>
        </w:tabs>
        <w:spacing w:after="0" w:line="276" w:lineRule="auto"/>
        <w:ind w:left="660" w:leftChars="0" w:hanging="440" w:firstLineChars="0"/>
        <w:jc w:val="both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  <w:lang w:val="en-CA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  <w:lang w:val="en-CA"/>
        </w:rPr>
        <w:t>Caregiver With More Than Two Funding Types</w:t>
      </w:r>
    </w:p>
    <w:p w14:paraId="78A0A395">
      <w:pPr>
        <w:pStyle w:val="9"/>
        <w:numPr>
          <w:ilvl w:val="0"/>
          <w:numId w:val="3"/>
        </w:numPr>
        <w:tabs>
          <w:tab w:val="clear" w:pos="420"/>
        </w:tabs>
        <w:spacing w:after="0" w:line="276" w:lineRule="auto"/>
        <w:ind w:left="660" w:leftChars="0" w:hanging="440" w:firstLineChars="0"/>
        <w:jc w:val="both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  <w:lang w:val="en-CA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  <w:lang w:val="en-CA"/>
        </w:rPr>
        <w:t>Single Payment of $3000 Or More</w:t>
      </w:r>
    </w:p>
    <w:p w14:paraId="53E5790B">
      <w:pPr>
        <w:pStyle w:val="9"/>
        <w:numPr>
          <w:ilvl w:val="0"/>
          <w:numId w:val="3"/>
        </w:numPr>
        <w:tabs>
          <w:tab w:val="clear" w:pos="420"/>
        </w:tabs>
        <w:spacing w:after="0" w:line="276" w:lineRule="auto"/>
        <w:ind w:left="660" w:leftChars="0" w:hanging="440" w:firstLineChars="0"/>
        <w:jc w:val="both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  <w:lang w:val="en-CA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  <w:lang w:val="en-CA"/>
        </w:rPr>
        <w:t xml:space="preserve">Total Payment To Each Caregiver Higher Than $10,000 </w:t>
      </w:r>
    </w:p>
    <w:p w14:paraId="77264A99">
      <w:pPr>
        <w:pStyle w:val="9"/>
        <w:numPr>
          <w:ilvl w:val="0"/>
          <w:numId w:val="3"/>
        </w:numPr>
        <w:tabs>
          <w:tab w:val="clear" w:pos="420"/>
        </w:tabs>
        <w:spacing w:after="0" w:line="276" w:lineRule="auto"/>
        <w:ind w:left="660" w:leftChars="0" w:hanging="440" w:firstLineChars="0"/>
        <w:jc w:val="both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  <w:lang w:val="en-CA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  <w:lang w:val="en-CA"/>
        </w:rPr>
        <w:t xml:space="preserve">Duplicated Payments </w:t>
      </w:r>
    </w:p>
    <w:p w14:paraId="601C18B7">
      <w:pPr>
        <w:pStyle w:val="9"/>
        <w:numPr>
          <w:ilvl w:val="0"/>
          <w:numId w:val="3"/>
        </w:numPr>
        <w:tabs>
          <w:tab w:val="clear" w:pos="420"/>
        </w:tabs>
        <w:spacing w:after="0" w:line="276" w:lineRule="auto"/>
        <w:ind w:left="660" w:leftChars="0" w:hanging="440" w:firstLineChars="0"/>
        <w:jc w:val="both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  <w:lang w:val="en-CA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  <w:lang w:val="en-CA"/>
        </w:rPr>
        <w:t xml:space="preserve">Inactive Status With Payment </w:t>
      </w:r>
    </w:p>
    <w:p w14:paraId="5FFB1837">
      <w:pPr>
        <w:pStyle w:val="9"/>
        <w:numPr>
          <w:ilvl w:val="0"/>
          <w:numId w:val="3"/>
        </w:numPr>
        <w:tabs>
          <w:tab w:val="clear" w:pos="420"/>
        </w:tabs>
        <w:spacing w:after="0" w:line="276" w:lineRule="auto"/>
        <w:ind w:left="660" w:leftChars="0" w:hanging="440" w:firstLineChars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  <w:lang w:val="en-CA"/>
        </w:rPr>
        <w:t>Unapproved Payments</w:t>
      </w:r>
    </w:p>
    <w:p w14:paraId="788ADE5D">
      <w:pPr>
        <w:spacing w:after="0" w:line="276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68A69E40">
      <w:pPr>
        <w:pStyle w:val="9"/>
        <w:numPr>
          <w:numId w:val="0"/>
        </w:numPr>
        <w:spacing w:after="0" w:line="276" w:lineRule="auto"/>
        <w:jc w:val="both"/>
        <w:rPr>
          <w:rFonts w:hint="default" w:ascii="Times New Roman" w:hAnsi="Times New Roman" w:eastAsia="Times New Roman" w:cs="Times New Roman"/>
          <w:b/>
          <w:bCs/>
          <w:i w:val="0"/>
          <w:iCs w:val="0"/>
          <w:color w:val="000000"/>
          <w:sz w:val="24"/>
          <w:szCs w:val="24"/>
          <w:lang w:val="en-CA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olor w:val="000000"/>
          <w:sz w:val="24"/>
          <w:szCs w:val="24"/>
          <w:lang w:val="en-CA"/>
        </w:rPr>
        <w:t>2.1 Funding Type Proportions</w:t>
      </w:r>
    </w:p>
    <w:p w14:paraId="63C330D9">
      <w:pPr>
        <w:pStyle w:val="9"/>
        <w:numPr>
          <w:numId w:val="0"/>
        </w:numPr>
        <w:spacing w:after="0" w:line="276" w:lineRule="auto"/>
        <w:jc w:val="both"/>
        <w:rPr>
          <w:rFonts w:hint="default" w:ascii="Times New Roman" w:hAnsi="Times New Roman" w:eastAsia="Times New Roman" w:cs="Times New Roman"/>
          <w:b/>
          <w:bCs/>
          <w:i w:val="0"/>
          <w:iCs w:val="0"/>
          <w:color w:val="000000"/>
          <w:sz w:val="24"/>
          <w:szCs w:val="24"/>
          <w:lang w:val="en-CA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000000"/>
          <w:sz w:val="24"/>
          <w:szCs w:val="24"/>
          <w:lang w:val="en-CA"/>
        </w:rPr>
        <w:t>During the year under review, 43% of the total expenditure relates with Special Needs, 26% for Adoption Subsidy, 24% Foster Care and 7% Emergency. There should be the need to ascertain if the spending patterns falls within the approved budget for each funding type.</w:t>
      </w:r>
    </w:p>
    <w:tbl>
      <w:tblPr>
        <w:tblW w:w="694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3"/>
        <w:gridCol w:w="2220"/>
        <w:gridCol w:w="2220"/>
      </w:tblGrid>
      <w:tr w14:paraId="135CC9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2508" w:type="dxa"/>
            <w:tcBorders>
              <w:top w:val="nil"/>
              <w:left w:val="nil"/>
              <w:bottom w:val="single" w:color="95B3D7" w:sz="4" w:space="0"/>
              <w:right w:val="nil"/>
            </w:tcBorders>
            <w:shd w:val="clear" w:color="DCE6F1" w:fill="DCE6F1"/>
            <w:noWrap/>
            <w:vAlign w:val="bottom"/>
          </w:tcPr>
          <w:p w14:paraId="09D1D7B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FundingType</w:t>
            </w:r>
          </w:p>
        </w:tc>
        <w:tc>
          <w:tcPr>
            <w:tcW w:w="2220" w:type="dxa"/>
            <w:tcBorders>
              <w:top w:val="nil"/>
              <w:left w:val="nil"/>
              <w:bottom w:val="single" w:color="95B3D7" w:sz="4" w:space="0"/>
              <w:right w:val="nil"/>
            </w:tcBorders>
            <w:shd w:val="clear" w:color="DCE6F1" w:fill="DCE6F1"/>
            <w:noWrap/>
            <w:vAlign w:val="bottom"/>
          </w:tcPr>
          <w:p w14:paraId="7AE0A39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Sum of Amount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shd w:val="clear" w:color="auto" w:fill="DCE6F1"/>
            <w:noWrap/>
            <w:vAlign w:val="bottom"/>
          </w:tcPr>
          <w:p w14:paraId="1589DD8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Sum of Amount</w:t>
            </w:r>
          </w:p>
        </w:tc>
      </w:tr>
      <w:tr w14:paraId="14CDDC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E884E8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Adoption Subsidy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D9FF424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59705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57BE529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26%</w:t>
            </w:r>
          </w:p>
        </w:tc>
      </w:tr>
      <w:tr w14:paraId="4FBB12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40044D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Emergency Child Support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F9F2A53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15235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0AB814E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7%</w:t>
            </w:r>
          </w:p>
        </w:tc>
      </w:tr>
      <w:tr w14:paraId="746255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82D84D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Foster Care Allowance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78C6597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55875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2B9417B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24%</w:t>
            </w:r>
          </w:p>
        </w:tc>
      </w:tr>
      <w:tr w14:paraId="73A164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tcBorders>
              <w:top w:val="nil"/>
              <w:left w:val="nil"/>
              <w:bottom w:val="single" w:color="95B3D7" w:sz="4" w:space="0"/>
              <w:right w:val="nil"/>
            </w:tcBorders>
            <w:shd w:val="clear"/>
            <w:noWrap/>
            <w:vAlign w:val="bottom"/>
          </w:tcPr>
          <w:p w14:paraId="4EB07A3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Special Needs Funding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95B3D7" w:sz="4" w:space="0"/>
              <w:right w:val="nil"/>
            </w:tcBorders>
            <w:shd w:val="clear"/>
            <w:noWrap/>
            <w:vAlign w:val="bottom"/>
          </w:tcPr>
          <w:p w14:paraId="61275DA0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99734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667C575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43%</w:t>
            </w:r>
          </w:p>
        </w:tc>
      </w:tr>
      <w:tr w14:paraId="157DC4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tcBorders>
              <w:top w:val="single" w:color="95B3D7" w:sz="4" w:space="0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</w:tcPr>
          <w:p w14:paraId="2929228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Grand Total</w:t>
            </w:r>
          </w:p>
        </w:tc>
        <w:tc>
          <w:tcPr>
            <w:tcW w:w="0" w:type="auto"/>
            <w:tcBorders>
              <w:top w:val="single" w:color="95B3D7" w:sz="4" w:space="0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</w:tcPr>
          <w:p w14:paraId="7661636B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230549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CE6F1"/>
            <w:noWrap/>
            <w:vAlign w:val="bottom"/>
          </w:tcPr>
          <w:p w14:paraId="6FBE8C44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100%</w:t>
            </w:r>
          </w:p>
        </w:tc>
      </w:tr>
    </w:tbl>
    <w:p w14:paraId="578BEA2F">
      <w:pPr>
        <w:pStyle w:val="9"/>
        <w:numPr>
          <w:numId w:val="0"/>
        </w:numPr>
        <w:spacing w:after="0" w:line="276" w:lineRule="auto"/>
        <w:jc w:val="both"/>
        <w:rPr>
          <w:rFonts w:hint="default" w:ascii="Times New Roman" w:hAnsi="Times New Roman" w:eastAsia="Times New Roman" w:cs="Times New Roman"/>
          <w:b/>
          <w:bCs/>
          <w:i w:val="0"/>
          <w:iCs w:val="0"/>
          <w:color w:val="000000"/>
          <w:sz w:val="24"/>
          <w:szCs w:val="24"/>
          <w:lang w:val="en-CA"/>
        </w:rPr>
      </w:pPr>
    </w:p>
    <w:p w14:paraId="5D63BE41">
      <w:pPr>
        <w:pStyle w:val="9"/>
        <w:numPr>
          <w:numId w:val="0"/>
        </w:numPr>
        <w:spacing w:after="0" w:line="276" w:lineRule="auto"/>
        <w:jc w:val="both"/>
        <w:rPr>
          <w:rFonts w:hint="default" w:ascii="Times New Roman" w:hAnsi="Times New Roman" w:eastAsia="Times New Roman" w:cs="Times New Roman"/>
          <w:b/>
          <w:bCs/>
          <w:i w:val="0"/>
          <w:iCs w:val="0"/>
          <w:color w:val="000000"/>
          <w:sz w:val="24"/>
          <w:szCs w:val="24"/>
          <w:lang w:val="en-CA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olor w:val="000000"/>
          <w:sz w:val="24"/>
          <w:szCs w:val="24"/>
          <w:lang w:val="en-CA"/>
        </w:rPr>
        <w:t>2.2 Caregiver With More Than Two Funding Type</w:t>
      </w:r>
    </w:p>
    <w:p w14:paraId="26185168">
      <w:pPr>
        <w:spacing w:after="0" w:line="276" w:lineRule="auto"/>
        <w:jc w:val="both"/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CA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The 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CA"/>
        </w:rPr>
        <w:t>expected number of funding type for each caregiver is expected to be 2 or less. Out of the 49 caregivers, 33 had unusual funding types with more than 2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.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CA"/>
        </w:rPr>
        <w:t xml:space="preserve"> Total value exposure to this risk type is $201,996.</w:t>
      </w:r>
    </w:p>
    <w:tbl>
      <w:tblPr>
        <w:tblStyle w:val="4"/>
        <w:tblW w:w="5812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0"/>
        <w:gridCol w:w="2732"/>
      </w:tblGrid>
      <w:tr w14:paraId="4C5315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581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43B26F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lang w:val="en-CA"/>
              </w:rPr>
              <w:t>Irregular Funding Type</w:t>
            </w:r>
          </w:p>
        </w:tc>
      </w:tr>
      <w:tr w14:paraId="6FDEE4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080" w:type="dxa"/>
            <w:tcBorders>
              <w:top w:val="nil"/>
              <w:left w:val="nil"/>
              <w:bottom w:val="single" w:color="44B3E1" w:sz="4" w:space="0"/>
              <w:right w:val="nil"/>
            </w:tcBorders>
            <w:shd w:val="clear" w:color="C0E6F5" w:fill="C0E6F5"/>
            <w:noWrap/>
            <w:vAlign w:val="bottom"/>
          </w:tcPr>
          <w:p w14:paraId="2A78DA54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lang w:val="en-US"/>
              </w:rPr>
              <w:t>Row Labels</w:t>
            </w:r>
          </w:p>
        </w:tc>
        <w:tc>
          <w:tcPr>
            <w:tcW w:w="2732" w:type="dxa"/>
            <w:tcBorders>
              <w:top w:val="nil"/>
              <w:left w:val="nil"/>
              <w:bottom w:val="single" w:color="44B3E1" w:sz="4" w:space="0"/>
              <w:right w:val="nil"/>
            </w:tcBorders>
            <w:shd w:val="clear" w:color="C0E6F5" w:fill="C0E6F5"/>
            <w:noWrap/>
            <w:vAlign w:val="bottom"/>
          </w:tcPr>
          <w:p w14:paraId="795C95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lang w:val="en-US"/>
              </w:rPr>
              <w:t xml:space="preserve">Count of 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lang w:val="en-CA"/>
              </w:rPr>
              <w:t>Funding Type</w:t>
            </w:r>
          </w:p>
        </w:tc>
      </w:tr>
      <w:tr w14:paraId="63A67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080" w:type="dxa"/>
            <w:tcBorders>
              <w:top w:val="nil"/>
              <w:left w:val="nil"/>
              <w:bottom w:val="single" w:color="44B3E1" w:sz="4" w:space="0"/>
              <w:right w:val="nil"/>
            </w:tcBorders>
            <w:noWrap/>
            <w:vAlign w:val="bottom"/>
          </w:tcPr>
          <w:p w14:paraId="55031047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lang w:val="en-CA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lang w:val="en-US"/>
              </w:rPr>
              <w:t>All C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lang w:val="en-CA"/>
              </w:rPr>
              <w:t>aregivers</w:t>
            </w:r>
          </w:p>
        </w:tc>
        <w:tc>
          <w:tcPr>
            <w:tcW w:w="2732" w:type="dxa"/>
            <w:tcBorders>
              <w:top w:val="nil"/>
              <w:left w:val="nil"/>
              <w:bottom w:val="single" w:color="44B3E1" w:sz="4" w:space="0"/>
              <w:right w:val="nil"/>
            </w:tcBorders>
            <w:noWrap/>
            <w:vAlign w:val="bottom"/>
          </w:tcPr>
          <w:p w14:paraId="71945C51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lang w:val="en-CA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lang w:val="en-CA"/>
              </w:rPr>
              <w:t>49</w:t>
            </w:r>
          </w:p>
        </w:tc>
      </w:tr>
      <w:tr w14:paraId="2A9596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45D2DCB">
            <w:pPr>
              <w:spacing w:after="0" w:line="240" w:lineRule="auto"/>
              <w:ind w:firstLine="220" w:firstLineChars="100"/>
              <w:rPr>
                <w:rFonts w:ascii="Times New Roman" w:hAnsi="Times New Roman" w:eastAsia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en-US"/>
              </w:rPr>
              <w:t xml:space="preserve">Unusual </w:t>
            </w:r>
            <w:r>
              <w:rPr>
                <w:rFonts w:hint="default" w:ascii="Times New Roman" w:hAnsi="Times New Roman" w:eastAsia="Times New Roman" w:cs="Times New Roman"/>
                <w:color w:val="000000"/>
                <w:lang w:val="en-CA"/>
              </w:rPr>
              <w:t>Funding Numbers</w:t>
            </w:r>
          </w:p>
        </w:tc>
        <w:tc>
          <w:tcPr>
            <w:tcW w:w="2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5B27740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lang w:val="en-CA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lang w:val="en-CA"/>
              </w:rPr>
              <w:t>33</w:t>
            </w:r>
          </w:p>
        </w:tc>
      </w:tr>
      <w:tr w14:paraId="3ADC74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7AAA60D">
            <w:pPr>
              <w:spacing w:after="0" w:line="240" w:lineRule="auto"/>
              <w:ind w:firstLine="220" w:firstLineChars="100"/>
              <w:rPr>
                <w:rFonts w:ascii="Times New Roman" w:hAnsi="Times New Roman" w:eastAsia="Times New Roman" w:cs="Times New Roman"/>
                <w:color w:val="000000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lang w:val="en-CA"/>
              </w:rPr>
              <w:t>U</w:t>
            </w:r>
            <w:r>
              <w:rPr>
                <w:rFonts w:ascii="Times New Roman" w:hAnsi="Times New Roman" w:eastAsia="Times New Roman" w:cs="Times New Roman"/>
                <w:color w:val="000000"/>
                <w:lang w:val="en-US"/>
              </w:rPr>
              <w:t xml:space="preserve">sual </w:t>
            </w:r>
            <w:r>
              <w:rPr>
                <w:rFonts w:hint="default" w:ascii="Times New Roman" w:hAnsi="Times New Roman" w:eastAsia="Times New Roman" w:cs="Times New Roman"/>
                <w:color w:val="000000"/>
                <w:lang w:val="en-CA"/>
              </w:rPr>
              <w:t>Funding Numbers</w:t>
            </w:r>
          </w:p>
        </w:tc>
        <w:tc>
          <w:tcPr>
            <w:tcW w:w="27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8B10A13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lang w:val="en-CA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lang w:val="en-CA"/>
              </w:rPr>
              <w:t>16</w:t>
            </w:r>
          </w:p>
        </w:tc>
      </w:tr>
      <w:tr w14:paraId="2EEEAC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080" w:type="dxa"/>
            <w:tcBorders>
              <w:top w:val="single" w:color="44B3E1" w:sz="4" w:space="0"/>
              <w:left w:val="nil"/>
              <w:bottom w:val="nil"/>
              <w:right w:val="nil"/>
            </w:tcBorders>
            <w:shd w:val="clear" w:color="C0E6F5" w:fill="C0E6F5"/>
            <w:noWrap/>
            <w:vAlign w:val="bottom"/>
          </w:tcPr>
          <w:p w14:paraId="366BB824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lang w:val="en-US"/>
              </w:rPr>
              <w:t>Grand Total</w:t>
            </w:r>
          </w:p>
        </w:tc>
        <w:tc>
          <w:tcPr>
            <w:tcW w:w="2732" w:type="dxa"/>
            <w:tcBorders>
              <w:top w:val="single" w:color="44B3E1" w:sz="4" w:space="0"/>
              <w:left w:val="nil"/>
              <w:bottom w:val="nil"/>
              <w:right w:val="nil"/>
            </w:tcBorders>
            <w:shd w:val="clear" w:color="C0E6F5" w:fill="C0E6F5"/>
            <w:noWrap/>
            <w:vAlign w:val="bottom"/>
          </w:tcPr>
          <w:p w14:paraId="5D84138B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lang w:val="en-CA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lang w:val="en-CA"/>
              </w:rPr>
              <w:t>49</w:t>
            </w:r>
          </w:p>
        </w:tc>
      </w:tr>
    </w:tbl>
    <w:p w14:paraId="1256D408">
      <w:pPr>
        <w:spacing w:after="0" w:line="276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3B3C31AD">
      <w:pPr>
        <w:spacing w:after="0" w:line="276" w:lineRule="auto"/>
        <w:jc w:val="both"/>
        <w:rPr>
          <w:rFonts w:hint="default" w:ascii="Times New Roman" w:hAnsi="Times New Roman" w:eastAsia="Times New Roman" w:cs="Times New Roman"/>
          <w:b/>
          <w:bCs/>
          <w:i w:val="0"/>
          <w:iCs w:val="0"/>
          <w:color w:val="000000"/>
          <w:sz w:val="24"/>
          <w:szCs w:val="24"/>
          <w:lang w:val="en-CA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olor w:val="000000"/>
          <w:sz w:val="24"/>
          <w:szCs w:val="24"/>
          <w:lang w:val="en-CA"/>
        </w:rPr>
        <w:t>2.3 Single Payment of $3000 or More</w:t>
      </w:r>
    </w:p>
    <w:p w14:paraId="177BF0AE">
      <w:pPr>
        <w:spacing w:after="0" w:line="276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CA"/>
        </w:rPr>
        <w:t xml:space="preserve">It is expected that any single payment above $3000 needs to go through additional review and a higher approval matrix. Out of the 158 transactions, 10 transactions were identified to fall above $3000. The exposed amount to this risk is $62,496. There is a need to check if the additional review and the right approval matrix has been followed.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</w:p>
    <w:tbl>
      <w:tblPr>
        <w:tblStyle w:val="4"/>
        <w:tblW w:w="5705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65"/>
        <w:gridCol w:w="2740"/>
      </w:tblGrid>
      <w:tr w14:paraId="30CC80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570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68ED6A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lang w:val="en-CA"/>
              </w:rPr>
              <w:t>Highly Exposed Single Amount Paid</w:t>
            </w:r>
          </w:p>
        </w:tc>
      </w:tr>
      <w:tr w14:paraId="7123CD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2965" w:type="dxa"/>
            <w:tcBorders>
              <w:top w:val="nil"/>
              <w:left w:val="nil"/>
              <w:bottom w:val="single" w:color="44B3E1" w:sz="4" w:space="0"/>
              <w:right w:val="nil"/>
            </w:tcBorders>
            <w:shd w:val="clear" w:color="C0E6F5" w:fill="C0E6F5"/>
            <w:noWrap/>
            <w:vAlign w:val="bottom"/>
          </w:tcPr>
          <w:p w14:paraId="305F410E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lang w:val="en-US"/>
              </w:rPr>
              <w:t>Row Labels</w:t>
            </w:r>
          </w:p>
        </w:tc>
        <w:tc>
          <w:tcPr>
            <w:tcW w:w="2740" w:type="dxa"/>
            <w:tcBorders>
              <w:top w:val="nil"/>
              <w:left w:val="nil"/>
              <w:bottom w:val="single" w:color="44B3E1" w:sz="4" w:space="0"/>
              <w:right w:val="nil"/>
            </w:tcBorders>
            <w:shd w:val="clear" w:color="C0E6F5" w:fill="C0E6F5"/>
            <w:noWrap/>
            <w:vAlign w:val="bottom"/>
          </w:tcPr>
          <w:p w14:paraId="514F7AB8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lang w:val="en-CA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lang w:val="en-US"/>
              </w:rPr>
              <w:t xml:space="preserve">Count of 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lang w:val="en-CA"/>
              </w:rPr>
              <w:t>Single Amount</w:t>
            </w:r>
          </w:p>
        </w:tc>
      </w:tr>
      <w:tr w14:paraId="5D88D4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2965" w:type="dxa"/>
            <w:tcBorders>
              <w:top w:val="nil"/>
              <w:left w:val="nil"/>
              <w:bottom w:val="single" w:color="44B3E1" w:sz="4" w:space="0"/>
              <w:right w:val="nil"/>
            </w:tcBorders>
            <w:noWrap/>
            <w:vAlign w:val="bottom"/>
          </w:tcPr>
          <w:p w14:paraId="058A77E7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lang w:val="en-CA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lang w:val="en-US"/>
              </w:rPr>
              <w:t>All C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lang w:val="en-CA"/>
              </w:rPr>
              <w:t>aregivers</w:t>
            </w:r>
          </w:p>
        </w:tc>
        <w:tc>
          <w:tcPr>
            <w:tcW w:w="2740" w:type="dxa"/>
            <w:tcBorders>
              <w:top w:val="nil"/>
              <w:left w:val="nil"/>
              <w:bottom w:val="single" w:color="44B3E1" w:sz="4" w:space="0"/>
              <w:right w:val="nil"/>
            </w:tcBorders>
            <w:noWrap/>
            <w:vAlign w:val="bottom"/>
          </w:tcPr>
          <w:p w14:paraId="2C2689FF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lang w:val="en-CA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lang w:val="en-CA"/>
              </w:rPr>
              <w:t>158</w:t>
            </w:r>
          </w:p>
        </w:tc>
      </w:tr>
      <w:tr w14:paraId="114EA4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2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54D1CAC">
            <w:pPr>
              <w:spacing w:after="0" w:line="240" w:lineRule="auto"/>
              <w:ind w:firstLine="220" w:firstLineChars="100"/>
              <w:rPr>
                <w:rFonts w:ascii="Times New Roman" w:hAnsi="Times New Roman" w:eastAsia="Times New Roman" w:cs="Times New Roman"/>
                <w:color w:val="000000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lang w:val="en-CA"/>
              </w:rPr>
              <w:t>Highly Exposed Amount</w:t>
            </w:r>
          </w:p>
        </w:tc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A51DB15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lang w:val="en-CA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lang w:val="en-CA"/>
              </w:rPr>
              <w:t>10</w:t>
            </w:r>
          </w:p>
        </w:tc>
      </w:tr>
      <w:tr w14:paraId="5BF73F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2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103BD81">
            <w:pPr>
              <w:spacing w:after="0" w:line="240" w:lineRule="auto"/>
              <w:ind w:firstLine="220" w:firstLineChars="100"/>
              <w:rPr>
                <w:rFonts w:hint="default" w:ascii="Times New Roman" w:hAnsi="Times New Roman" w:eastAsia="Times New Roman" w:cs="Times New Roman"/>
                <w:color w:val="000000"/>
                <w:lang w:val="en-CA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lang w:val="en-CA"/>
              </w:rPr>
              <w:t>Lowly Exposed Amount</w:t>
            </w:r>
          </w:p>
        </w:tc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789C92A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lang w:val="en-CA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lang w:val="en-CA"/>
              </w:rPr>
              <w:t>148</w:t>
            </w:r>
          </w:p>
        </w:tc>
      </w:tr>
      <w:tr w14:paraId="38439F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2965" w:type="dxa"/>
            <w:tcBorders>
              <w:top w:val="single" w:color="44B3E1" w:sz="4" w:space="0"/>
              <w:left w:val="nil"/>
              <w:bottom w:val="nil"/>
              <w:right w:val="nil"/>
            </w:tcBorders>
            <w:shd w:val="clear" w:color="C0E6F5" w:fill="C0E6F5"/>
            <w:noWrap/>
            <w:vAlign w:val="bottom"/>
          </w:tcPr>
          <w:p w14:paraId="373E8E6A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lang w:val="en-US"/>
              </w:rPr>
              <w:t>Grand Total</w:t>
            </w:r>
          </w:p>
        </w:tc>
        <w:tc>
          <w:tcPr>
            <w:tcW w:w="2740" w:type="dxa"/>
            <w:tcBorders>
              <w:top w:val="single" w:color="44B3E1" w:sz="4" w:space="0"/>
              <w:left w:val="nil"/>
              <w:bottom w:val="nil"/>
              <w:right w:val="nil"/>
            </w:tcBorders>
            <w:shd w:val="clear" w:color="C0E6F5" w:fill="C0E6F5"/>
            <w:noWrap/>
            <w:vAlign w:val="bottom"/>
          </w:tcPr>
          <w:p w14:paraId="75EA4AC7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lang w:val="en-CA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lang w:val="en-CA"/>
              </w:rPr>
              <w:t>158</w:t>
            </w:r>
          </w:p>
        </w:tc>
      </w:tr>
    </w:tbl>
    <w:p w14:paraId="607526F9">
      <w:pPr>
        <w:spacing w:after="0" w:line="276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125F26FD">
      <w:pPr>
        <w:spacing w:after="0" w:line="276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6BDBE0EA">
      <w:pPr>
        <w:pStyle w:val="9"/>
        <w:numPr>
          <w:numId w:val="0"/>
        </w:numPr>
        <w:spacing w:after="0" w:line="276" w:lineRule="auto"/>
        <w:jc w:val="both"/>
        <w:rPr>
          <w:rFonts w:hint="default" w:ascii="Times New Roman" w:hAnsi="Times New Roman" w:eastAsia="Times New Roman" w:cs="Times New Roman"/>
          <w:b/>
          <w:bCs/>
          <w:i w:val="0"/>
          <w:iCs w:val="0"/>
          <w:color w:val="000000"/>
          <w:sz w:val="24"/>
          <w:szCs w:val="24"/>
          <w:lang w:val="en-CA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olor w:val="000000"/>
          <w:sz w:val="24"/>
          <w:szCs w:val="24"/>
          <w:lang w:val="en-CA"/>
        </w:rPr>
        <w:t xml:space="preserve">2.4 Total Payment To Each Caregiver Higher Than $10,000 </w:t>
      </w:r>
    </w:p>
    <w:p w14:paraId="31196B35">
      <w:pPr>
        <w:spacing w:after="0" w:line="276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CA"/>
        </w:rPr>
        <w:t xml:space="preserve">It is expected that any total of all payments above $10,000 to one caregiver within any year under review needs to go through additional review for appropriateness. Out of the 49 caregivers, 4 total payments to each caregiver was identified to fall above $10000. The total exposed amount to this risk type is $58,351. There is a need to check if the additional review has been followed.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</w:p>
    <w:tbl>
      <w:tblPr>
        <w:tblStyle w:val="4"/>
        <w:tblW w:w="5782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4"/>
        <w:gridCol w:w="1387"/>
        <w:gridCol w:w="2991"/>
      </w:tblGrid>
      <w:tr w14:paraId="29BA1C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288" w:hRule="atLeast"/>
          <w:jc w:val="center"/>
        </w:trPr>
        <w:tc>
          <w:tcPr>
            <w:tcW w:w="5782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333EA8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lang w:val="en-CA"/>
              </w:rPr>
              <w:t>Highly Exposed Total Amount Paid</w:t>
            </w:r>
          </w:p>
        </w:tc>
      </w:tr>
      <w:tr w14:paraId="33F78D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288" w:hRule="atLeast"/>
          <w:jc w:val="center"/>
        </w:trPr>
        <w:tc>
          <w:tcPr>
            <w:tcW w:w="1404" w:type="dxa"/>
            <w:tcBorders>
              <w:top w:val="nil"/>
              <w:left w:val="nil"/>
              <w:bottom w:val="single" w:color="44B3E1" w:sz="4" w:space="0"/>
              <w:right w:val="nil"/>
            </w:tcBorders>
            <w:shd w:val="clear" w:color="C0E6F5" w:fill="C0E6F5"/>
            <w:noWrap/>
            <w:vAlign w:val="bottom"/>
          </w:tcPr>
          <w:p w14:paraId="63F6A9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lang w:val="en-US"/>
              </w:rPr>
              <w:t>Row Labels</w:t>
            </w:r>
          </w:p>
        </w:tc>
        <w:tc>
          <w:tcPr>
            <w:tcW w:w="4378" w:type="dxa"/>
            <w:gridSpan w:val="2"/>
            <w:tcBorders>
              <w:top w:val="nil"/>
              <w:left w:val="nil"/>
              <w:bottom w:val="single" w:color="44B3E1" w:sz="4" w:space="0"/>
              <w:right w:val="nil"/>
            </w:tcBorders>
            <w:shd w:val="clear" w:color="C0E6F5" w:fill="C0E6F5"/>
            <w:noWrap/>
            <w:vAlign w:val="bottom"/>
          </w:tcPr>
          <w:p w14:paraId="08D023B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lang w:val="en-US"/>
              </w:rPr>
              <w:t>Count of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lang w:val="en-CA"/>
              </w:rPr>
              <w:t xml:space="preserve"> Total Amount</w:t>
            </w:r>
          </w:p>
        </w:tc>
      </w:tr>
      <w:tr w14:paraId="2ED7C3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2791" w:type="dxa"/>
            <w:gridSpan w:val="2"/>
            <w:tcBorders>
              <w:top w:val="nil"/>
              <w:left w:val="nil"/>
              <w:bottom w:val="single" w:color="44B3E1" w:sz="4" w:space="0"/>
              <w:right w:val="nil"/>
            </w:tcBorders>
            <w:noWrap/>
            <w:vAlign w:val="bottom"/>
          </w:tcPr>
          <w:p w14:paraId="3AF00C28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lang w:val="en-CA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lang w:val="en-US"/>
              </w:rPr>
              <w:t>All C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lang w:val="en-CA"/>
              </w:rPr>
              <w:t>aregivers</w:t>
            </w:r>
          </w:p>
        </w:tc>
        <w:tc>
          <w:tcPr>
            <w:tcW w:w="2991" w:type="dxa"/>
            <w:tcBorders>
              <w:top w:val="nil"/>
              <w:left w:val="nil"/>
              <w:bottom w:val="single" w:color="44B3E1" w:sz="4" w:space="0"/>
              <w:right w:val="nil"/>
            </w:tcBorders>
            <w:noWrap/>
            <w:vAlign w:val="bottom"/>
          </w:tcPr>
          <w:p w14:paraId="260F2A55">
            <w:pPr>
              <w:spacing w:after="0" w:line="240" w:lineRule="auto"/>
              <w:ind w:left="615" w:hanging="615"/>
              <w:jc w:val="center"/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lang w:val="en-CA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lang w:val="en-CA"/>
              </w:rPr>
              <w:t>49</w:t>
            </w:r>
          </w:p>
        </w:tc>
      </w:tr>
      <w:tr w14:paraId="7BFF8D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279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674611E">
            <w:pPr>
              <w:spacing w:after="0" w:line="240" w:lineRule="auto"/>
              <w:ind w:firstLine="220" w:firstLineChars="100"/>
              <w:rPr>
                <w:rFonts w:ascii="Times New Roman" w:hAnsi="Times New Roman" w:eastAsia="Times New Roman" w:cs="Times New Roman"/>
                <w:color w:val="000000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lang w:val="en-CA"/>
              </w:rPr>
              <w:t>Highly Exposed Amount</w:t>
            </w:r>
          </w:p>
        </w:tc>
        <w:tc>
          <w:tcPr>
            <w:tcW w:w="29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9BE7E49">
            <w:pPr>
              <w:spacing w:after="0" w:line="240" w:lineRule="auto"/>
              <w:ind w:left="615" w:hanging="615"/>
              <w:jc w:val="center"/>
              <w:rPr>
                <w:rFonts w:hint="default" w:ascii="Times New Roman" w:hAnsi="Times New Roman" w:eastAsia="Times New Roman" w:cs="Times New Roman"/>
                <w:color w:val="000000"/>
                <w:lang w:val="en-CA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lang w:val="en-CA"/>
              </w:rPr>
              <w:t>4</w:t>
            </w:r>
          </w:p>
        </w:tc>
      </w:tr>
      <w:tr w14:paraId="296149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279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55E7191">
            <w:pPr>
              <w:spacing w:after="0" w:line="240" w:lineRule="auto"/>
              <w:ind w:firstLine="220" w:firstLineChars="100"/>
              <w:rPr>
                <w:rFonts w:ascii="Times New Roman" w:hAnsi="Times New Roman" w:eastAsia="Times New Roman" w:cs="Times New Roman"/>
                <w:color w:val="000000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lang w:val="en-CA"/>
              </w:rPr>
              <w:t>Lowly Exposed Amount</w:t>
            </w:r>
          </w:p>
        </w:tc>
        <w:tc>
          <w:tcPr>
            <w:tcW w:w="29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337A929">
            <w:pPr>
              <w:spacing w:after="0" w:line="240" w:lineRule="auto"/>
              <w:ind w:left="615" w:hanging="615"/>
              <w:jc w:val="center"/>
              <w:rPr>
                <w:rFonts w:hint="default" w:ascii="Times New Roman" w:hAnsi="Times New Roman" w:eastAsia="Times New Roman" w:cs="Times New Roman"/>
                <w:color w:val="000000"/>
                <w:lang w:val="en-CA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lang w:val="en-CA"/>
              </w:rPr>
              <w:t>45</w:t>
            </w:r>
          </w:p>
        </w:tc>
      </w:tr>
      <w:tr w14:paraId="395117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2791" w:type="dxa"/>
            <w:gridSpan w:val="2"/>
            <w:tcBorders>
              <w:top w:val="single" w:color="44B3E1" w:sz="4" w:space="0"/>
              <w:left w:val="nil"/>
              <w:bottom w:val="nil"/>
              <w:right w:val="nil"/>
            </w:tcBorders>
            <w:shd w:val="clear" w:color="C0E6F5" w:fill="C0E6F5"/>
            <w:noWrap/>
            <w:vAlign w:val="bottom"/>
          </w:tcPr>
          <w:p w14:paraId="144B025D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lang w:val="en-US"/>
              </w:rPr>
              <w:t>Grand Total</w:t>
            </w:r>
          </w:p>
        </w:tc>
        <w:tc>
          <w:tcPr>
            <w:tcW w:w="2991" w:type="dxa"/>
            <w:tcBorders>
              <w:top w:val="single" w:color="44B3E1" w:sz="4" w:space="0"/>
              <w:left w:val="nil"/>
              <w:bottom w:val="nil"/>
              <w:right w:val="nil"/>
            </w:tcBorders>
            <w:shd w:val="clear" w:color="C0E6F5" w:fill="C0E6F5"/>
            <w:noWrap/>
            <w:vAlign w:val="bottom"/>
          </w:tcPr>
          <w:p w14:paraId="1CA677DD">
            <w:pPr>
              <w:spacing w:after="0" w:line="240" w:lineRule="auto"/>
              <w:ind w:left="615" w:hanging="615"/>
              <w:jc w:val="center"/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lang w:val="en-CA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lang w:val="en-CA"/>
              </w:rPr>
              <w:t>49</w:t>
            </w:r>
          </w:p>
        </w:tc>
      </w:tr>
    </w:tbl>
    <w:p w14:paraId="52CECAFE">
      <w:pPr>
        <w:spacing w:after="0" w:line="276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59E0FCDE">
      <w:pPr>
        <w:pStyle w:val="9"/>
        <w:numPr>
          <w:numId w:val="0"/>
        </w:numPr>
        <w:spacing w:after="0" w:line="276" w:lineRule="auto"/>
        <w:jc w:val="both"/>
        <w:rPr>
          <w:rFonts w:hint="default" w:ascii="Times New Roman" w:hAnsi="Times New Roman" w:eastAsia="Times New Roman" w:cs="Times New Roman"/>
          <w:b/>
          <w:bCs/>
          <w:i w:val="0"/>
          <w:iCs w:val="0"/>
          <w:color w:val="000000"/>
          <w:sz w:val="24"/>
          <w:szCs w:val="24"/>
          <w:lang w:val="en-CA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olor w:val="000000"/>
          <w:sz w:val="24"/>
          <w:szCs w:val="24"/>
          <w:lang w:val="en-CA"/>
        </w:rPr>
        <w:t xml:space="preserve">2.5 Duplicated Payments </w:t>
      </w:r>
    </w:p>
    <w:p w14:paraId="63B88FC3">
      <w:pPr>
        <w:spacing w:after="0" w:line="276" w:lineRule="auto"/>
        <w:jc w:val="both"/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CA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CA"/>
        </w:rPr>
        <w:t>Duplicated payments are two or more transactions with the same details paid to the same caregiver at the same amount. 8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transactions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CA"/>
        </w:rPr>
        <w:t xml:space="preserve"> out of the 158 were identified to be duplicated at a total exposed amount of $30,462.</w:t>
      </w:r>
    </w:p>
    <w:tbl>
      <w:tblPr>
        <w:tblStyle w:val="4"/>
        <w:tblW w:w="5705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65"/>
        <w:gridCol w:w="2740"/>
      </w:tblGrid>
      <w:tr w14:paraId="0151E4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570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080F3B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lang w:val="en-CA"/>
              </w:rPr>
              <w:t>Duplicated Payments</w:t>
            </w:r>
          </w:p>
        </w:tc>
      </w:tr>
      <w:tr w14:paraId="10B4FB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2965" w:type="dxa"/>
            <w:tcBorders>
              <w:top w:val="nil"/>
              <w:left w:val="nil"/>
              <w:bottom w:val="single" w:color="44B3E1" w:sz="4" w:space="0"/>
              <w:right w:val="nil"/>
            </w:tcBorders>
            <w:shd w:val="clear" w:color="C0E6F5" w:fill="C0E6F5"/>
            <w:noWrap/>
            <w:vAlign w:val="bottom"/>
          </w:tcPr>
          <w:p w14:paraId="1B6A114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lang w:val="en-US"/>
              </w:rPr>
              <w:t>Row Labels</w:t>
            </w:r>
          </w:p>
        </w:tc>
        <w:tc>
          <w:tcPr>
            <w:tcW w:w="2740" w:type="dxa"/>
            <w:tcBorders>
              <w:top w:val="nil"/>
              <w:left w:val="nil"/>
              <w:bottom w:val="single" w:color="44B3E1" w:sz="4" w:space="0"/>
              <w:right w:val="nil"/>
            </w:tcBorders>
            <w:shd w:val="clear" w:color="C0E6F5" w:fill="C0E6F5"/>
            <w:noWrap/>
            <w:vAlign w:val="bottom"/>
          </w:tcPr>
          <w:p w14:paraId="16236403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lang w:val="en-CA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lang w:val="en-US"/>
              </w:rPr>
              <w:t xml:space="preserve">Count of 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lang w:val="en-CA"/>
              </w:rPr>
              <w:t>Single Amount</w:t>
            </w:r>
          </w:p>
        </w:tc>
      </w:tr>
      <w:tr w14:paraId="71AAE9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2965" w:type="dxa"/>
            <w:tcBorders>
              <w:top w:val="nil"/>
              <w:left w:val="nil"/>
              <w:bottom w:val="single" w:color="44B3E1" w:sz="4" w:space="0"/>
              <w:right w:val="nil"/>
            </w:tcBorders>
            <w:noWrap/>
            <w:vAlign w:val="bottom"/>
          </w:tcPr>
          <w:p w14:paraId="206DD735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lang w:val="en-CA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lang w:val="en-US"/>
              </w:rPr>
              <w:t>All C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lang w:val="en-CA"/>
              </w:rPr>
              <w:t>aregivers</w:t>
            </w:r>
          </w:p>
        </w:tc>
        <w:tc>
          <w:tcPr>
            <w:tcW w:w="2740" w:type="dxa"/>
            <w:tcBorders>
              <w:top w:val="nil"/>
              <w:left w:val="nil"/>
              <w:bottom w:val="single" w:color="44B3E1" w:sz="4" w:space="0"/>
              <w:right w:val="nil"/>
            </w:tcBorders>
            <w:noWrap/>
            <w:vAlign w:val="bottom"/>
          </w:tcPr>
          <w:p w14:paraId="3FBEB532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lang w:val="en-CA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lang w:val="en-CA"/>
              </w:rPr>
              <w:t>158</w:t>
            </w:r>
          </w:p>
        </w:tc>
      </w:tr>
      <w:tr w14:paraId="335B02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2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DA6A5A3">
            <w:pPr>
              <w:spacing w:after="0" w:line="240" w:lineRule="auto"/>
              <w:ind w:firstLine="220" w:firstLineChars="100"/>
              <w:rPr>
                <w:rFonts w:hint="default" w:ascii="Times New Roman" w:hAnsi="Times New Roman" w:eastAsia="Times New Roman" w:cs="Times New Roman"/>
                <w:color w:val="000000"/>
                <w:lang w:val="en-CA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lang w:val="en-CA"/>
              </w:rPr>
              <w:t>Duplicated transactions</w:t>
            </w:r>
          </w:p>
        </w:tc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73505E6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lang w:val="en-CA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lang w:val="en-CA"/>
              </w:rPr>
              <w:t>8</w:t>
            </w:r>
          </w:p>
        </w:tc>
      </w:tr>
      <w:tr w14:paraId="4671EC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296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D1C78CA">
            <w:pPr>
              <w:spacing w:after="0" w:line="240" w:lineRule="auto"/>
              <w:ind w:firstLine="220" w:firstLineChars="100"/>
              <w:rPr>
                <w:rFonts w:hint="default" w:ascii="Times New Roman" w:hAnsi="Times New Roman" w:eastAsia="Times New Roman" w:cs="Times New Roman"/>
                <w:color w:val="000000"/>
                <w:lang w:val="en-CA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lang w:val="en-CA"/>
              </w:rPr>
              <w:t>Non-duplicated transactions</w:t>
            </w:r>
          </w:p>
        </w:tc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D709475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lang w:val="en-CA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lang w:val="en-CA"/>
              </w:rPr>
              <w:t>150</w:t>
            </w:r>
          </w:p>
        </w:tc>
      </w:tr>
      <w:tr w14:paraId="754393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2965" w:type="dxa"/>
            <w:tcBorders>
              <w:top w:val="single" w:color="44B3E1" w:sz="4" w:space="0"/>
              <w:left w:val="nil"/>
              <w:bottom w:val="nil"/>
              <w:right w:val="nil"/>
            </w:tcBorders>
            <w:shd w:val="clear" w:color="C0E6F5" w:fill="C0E6F5"/>
            <w:noWrap/>
            <w:vAlign w:val="bottom"/>
          </w:tcPr>
          <w:p w14:paraId="24C20FDB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lang w:val="en-US"/>
              </w:rPr>
              <w:t>Grand Total</w:t>
            </w:r>
          </w:p>
        </w:tc>
        <w:tc>
          <w:tcPr>
            <w:tcW w:w="2740" w:type="dxa"/>
            <w:tcBorders>
              <w:top w:val="single" w:color="44B3E1" w:sz="4" w:space="0"/>
              <w:left w:val="nil"/>
              <w:bottom w:val="nil"/>
              <w:right w:val="nil"/>
            </w:tcBorders>
            <w:shd w:val="clear" w:color="C0E6F5" w:fill="C0E6F5"/>
            <w:noWrap/>
            <w:vAlign w:val="bottom"/>
          </w:tcPr>
          <w:p w14:paraId="30EA82E3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lang w:val="en-CA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lang w:val="en-CA"/>
              </w:rPr>
              <w:t>158</w:t>
            </w:r>
          </w:p>
        </w:tc>
      </w:tr>
    </w:tbl>
    <w:p w14:paraId="0ABF84F5">
      <w:pPr>
        <w:spacing w:after="0" w:line="276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6D5ACCC2">
      <w:pPr>
        <w:spacing w:after="0" w:line="276" w:lineRule="auto"/>
        <w:jc w:val="both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olor w:val="000000"/>
          <w:sz w:val="24"/>
          <w:szCs w:val="24"/>
          <w:lang w:val="en-CA"/>
        </w:rPr>
        <w:t xml:space="preserve">2.6 Inactive Account With Payment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A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lang w:val="en-CA"/>
        </w:rPr>
        <w:t>ctivity</w:t>
      </w:r>
    </w:p>
    <w:p w14:paraId="77DB8744">
      <w:pPr>
        <w:spacing w:after="0" w:line="276" w:lineRule="auto"/>
        <w:jc w:val="both"/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CA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CA"/>
        </w:rPr>
        <w:t>Caregiver accounts needs to be active to receive payments as required. Payments received for an inactive account is a red flag that needs to be further investigated. 12 transactions were identified as 2 separate caregivers received multiple payments on their inactive accounts. The total exposed amount to this risk is $11,654.</w:t>
      </w:r>
    </w:p>
    <w:tbl>
      <w:tblPr>
        <w:tblStyle w:val="4"/>
        <w:tblW w:w="6339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99"/>
        <w:gridCol w:w="2740"/>
      </w:tblGrid>
      <w:tr w14:paraId="6CA0D8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288" w:hRule="atLeast"/>
          <w:jc w:val="center"/>
        </w:trPr>
        <w:tc>
          <w:tcPr>
            <w:tcW w:w="633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420A9F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lang w:val="en-CA"/>
              </w:rPr>
              <w:t>Inactive Account with Transactions</w:t>
            </w:r>
          </w:p>
        </w:tc>
      </w:tr>
      <w:tr w14:paraId="4562F5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599" w:type="dxa"/>
            <w:tcBorders>
              <w:top w:val="nil"/>
              <w:left w:val="nil"/>
              <w:bottom w:val="single" w:color="44B3E1" w:sz="4" w:space="0"/>
              <w:right w:val="nil"/>
            </w:tcBorders>
            <w:shd w:val="clear" w:color="C0E6F5" w:fill="C0E6F5"/>
            <w:noWrap/>
            <w:vAlign w:val="bottom"/>
          </w:tcPr>
          <w:p w14:paraId="5CCBD97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lang w:val="en-US"/>
              </w:rPr>
              <w:t>Row Labels</w:t>
            </w:r>
          </w:p>
        </w:tc>
        <w:tc>
          <w:tcPr>
            <w:tcW w:w="2740" w:type="dxa"/>
            <w:tcBorders>
              <w:top w:val="nil"/>
              <w:left w:val="nil"/>
              <w:bottom w:val="single" w:color="44B3E1" w:sz="4" w:space="0"/>
              <w:right w:val="nil"/>
            </w:tcBorders>
            <w:shd w:val="clear" w:color="C0E6F5" w:fill="C0E6F5"/>
            <w:noWrap/>
            <w:vAlign w:val="bottom"/>
          </w:tcPr>
          <w:p w14:paraId="4D6B3E15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lang w:val="en-CA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lang w:val="en-US"/>
              </w:rPr>
              <w:t xml:space="preserve">Count of 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lang w:val="en-CA"/>
              </w:rPr>
              <w:t>Single Amount</w:t>
            </w:r>
          </w:p>
        </w:tc>
      </w:tr>
      <w:tr w14:paraId="1C72F6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599" w:type="dxa"/>
            <w:tcBorders>
              <w:top w:val="nil"/>
              <w:left w:val="nil"/>
              <w:bottom w:val="single" w:color="44B3E1" w:sz="4" w:space="0"/>
              <w:right w:val="nil"/>
            </w:tcBorders>
            <w:noWrap/>
            <w:vAlign w:val="bottom"/>
          </w:tcPr>
          <w:p w14:paraId="16BA016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lang w:val="en-CA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lang w:val="en-US"/>
              </w:rPr>
              <w:t>All C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lang w:val="en-CA"/>
              </w:rPr>
              <w:t>aregivers</w:t>
            </w:r>
          </w:p>
        </w:tc>
        <w:tc>
          <w:tcPr>
            <w:tcW w:w="2740" w:type="dxa"/>
            <w:tcBorders>
              <w:top w:val="nil"/>
              <w:left w:val="nil"/>
              <w:bottom w:val="single" w:color="44B3E1" w:sz="4" w:space="0"/>
              <w:right w:val="nil"/>
            </w:tcBorders>
            <w:noWrap/>
            <w:vAlign w:val="bottom"/>
          </w:tcPr>
          <w:p w14:paraId="214C4AFE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lang w:val="en-CA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lang w:val="en-CA"/>
              </w:rPr>
              <w:t>158</w:t>
            </w:r>
          </w:p>
        </w:tc>
      </w:tr>
      <w:tr w14:paraId="0A9054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5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13379D0">
            <w:pPr>
              <w:spacing w:after="0" w:line="240" w:lineRule="auto"/>
              <w:ind w:firstLine="220" w:firstLineChars="100"/>
              <w:rPr>
                <w:rFonts w:hint="default" w:ascii="Times New Roman" w:hAnsi="Times New Roman" w:eastAsia="Times New Roman" w:cs="Times New Roman"/>
                <w:color w:val="000000"/>
                <w:lang w:val="en-CA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lang w:val="en-CA"/>
              </w:rPr>
              <w:t>Inactive Accounts with transactions</w:t>
            </w:r>
          </w:p>
        </w:tc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D7D7434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lang w:val="en-CA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lang w:val="en-CA"/>
              </w:rPr>
              <w:t>12</w:t>
            </w:r>
          </w:p>
        </w:tc>
      </w:tr>
      <w:tr w14:paraId="496A47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5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1654265">
            <w:pPr>
              <w:spacing w:after="0" w:line="240" w:lineRule="auto"/>
              <w:ind w:firstLine="220" w:firstLineChars="100"/>
              <w:rPr>
                <w:rFonts w:hint="default" w:ascii="Times New Roman" w:hAnsi="Times New Roman" w:eastAsia="Times New Roman" w:cs="Times New Roman"/>
                <w:color w:val="000000"/>
                <w:lang w:val="en-CA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lang w:val="en-CA"/>
              </w:rPr>
              <w:t>Active Accounts with transactions</w:t>
            </w:r>
          </w:p>
        </w:tc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766A480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lang w:val="en-CA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lang w:val="en-CA"/>
              </w:rPr>
              <w:t>146</w:t>
            </w:r>
          </w:p>
        </w:tc>
      </w:tr>
      <w:tr w14:paraId="665FC1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599" w:type="dxa"/>
            <w:tcBorders>
              <w:top w:val="single" w:color="44B3E1" w:sz="4" w:space="0"/>
              <w:left w:val="nil"/>
              <w:bottom w:val="nil"/>
              <w:right w:val="nil"/>
            </w:tcBorders>
            <w:shd w:val="clear" w:color="C0E6F5" w:fill="C0E6F5"/>
            <w:noWrap/>
            <w:vAlign w:val="bottom"/>
          </w:tcPr>
          <w:p w14:paraId="78C36A2D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lang w:val="en-US"/>
              </w:rPr>
              <w:t>Grand Total</w:t>
            </w:r>
          </w:p>
        </w:tc>
        <w:tc>
          <w:tcPr>
            <w:tcW w:w="2740" w:type="dxa"/>
            <w:tcBorders>
              <w:top w:val="single" w:color="44B3E1" w:sz="4" w:space="0"/>
              <w:left w:val="nil"/>
              <w:bottom w:val="nil"/>
              <w:right w:val="nil"/>
            </w:tcBorders>
            <w:shd w:val="clear" w:color="C0E6F5" w:fill="C0E6F5"/>
            <w:noWrap/>
            <w:vAlign w:val="bottom"/>
          </w:tcPr>
          <w:p w14:paraId="131F5774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lang w:val="en-CA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lang w:val="en-CA"/>
              </w:rPr>
              <w:t>158</w:t>
            </w:r>
          </w:p>
        </w:tc>
      </w:tr>
    </w:tbl>
    <w:p w14:paraId="6A110A81">
      <w:pPr>
        <w:spacing w:after="0" w:line="276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5B0C3408">
      <w:pPr>
        <w:spacing w:after="0" w:line="276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lang w:val="en-CA"/>
        </w:rPr>
        <w:t>2.7 Unapproved Payments</w:t>
      </w:r>
    </w:p>
    <w:p w14:paraId="72545100">
      <w:pPr>
        <w:spacing w:after="0" w:line="276" w:lineRule="auto"/>
        <w:jc w:val="both"/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CA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CA"/>
        </w:rPr>
        <w:t>Payment made without adequate approval required heavy investigation. 17 transactions spread across 17 caregivers was identified. A total exposed mount to this unapproved payment risk is $34,457.</w:t>
      </w:r>
    </w:p>
    <w:tbl>
      <w:tblPr>
        <w:tblStyle w:val="4"/>
        <w:tblW w:w="5799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7"/>
        <w:gridCol w:w="2822"/>
      </w:tblGrid>
      <w:tr w14:paraId="464029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579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970C4F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lang w:val="en-CA"/>
              </w:rPr>
              <w:t>Unapproved Payments</w:t>
            </w:r>
          </w:p>
        </w:tc>
      </w:tr>
      <w:tr w14:paraId="17864D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2977" w:type="dxa"/>
            <w:tcBorders>
              <w:top w:val="nil"/>
              <w:left w:val="nil"/>
              <w:bottom w:val="single" w:color="44B3E1" w:sz="4" w:space="0"/>
              <w:right w:val="nil"/>
            </w:tcBorders>
            <w:shd w:val="clear" w:color="C0E6F5" w:fill="C0E6F5"/>
            <w:noWrap/>
            <w:vAlign w:val="bottom"/>
          </w:tcPr>
          <w:p w14:paraId="26859BBD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lang w:val="en-US"/>
              </w:rPr>
              <w:t>Row Labels</w:t>
            </w:r>
          </w:p>
        </w:tc>
        <w:tc>
          <w:tcPr>
            <w:tcW w:w="2822" w:type="dxa"/>
            <w:tcBorders>
              <w:top w:val="nil"/>
              <w:left w:val="nil"/>
              <w:bottom w:val="single" w:color="44B3E1" w:sz="4" w:space="0"/>
              <w:right w:val="nil"/>
            </w:tcBorders>
            <w:shd w:val="clear" w:color="C0E6F5" w:fill="C0E6F5"/>
            <w:noWrap/>
            <w:vAlign w:val="bottom"/>
          </w:tcPr>
          <w:p w14:paraId="6EB4574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lang w:val="en-US"/>
              </w:rPr>
              <w:t>Count of Transaction_ID</w:t>
            </w:r>
          </w:p>
        </w:tc>
      </w:tr>
      <w:tr w14:paraId="3C2DB4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2977" w:type="dxa"/>
            <w:tcBorders>
              <w:top w:val="nil"/>
              <w:left w:val="nil"/>
              <w:bottom w:val="single" w:color="44B3E1" w:sz="4" w:space="0"/>
              <w:right w:val="nil"/>
            </w:tcBorders>
            <w:noWrap/>
            <w:vAlign w:val="bottom"/>
          </w:tcPr>
          <w:p w14:paraId="165D3B43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lang w:val="en-US"/>
              </w:rPr>
              <w:t>All Customers</w:t>
            </w:r>
          </w:p>
        </w:tc>
        <w:tc>
          <w:tcPr>
            <w:tcW w:w="2822" w:type="dxa"/>
            <w:tcBorders>
              <w:top w:val="nil"/>
              <w:left w:val="nil"/>
              <w:bottom w:val="single" w:color="44B3E1" w:sz="4" w:space="0"/>
              <w:right w:val="nil"/>
            </w:tcBorders>
            <w:noWrap/>
            <w:vAlign w:val="bottom"/>
          </w:tcPr>
          <w:p w14:paraId="11B7330A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lang w:val="en-CA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lang w:val="en-US"/>
              </w:rPr>
              <w:t>1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lang w:val="en-CA"/>
              </w:rPr>
              <w:t>58</w:t>
            </w:r>
          </w:p>
        </w:tc>
      </w:tr>
      <w:tr w14:paraId="0AADCF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0805EE6">
            <w:pPr>
              <w:spacing w:after="0" w:line="240" w:lineRule="auto"/>
              <w:ind w:firstLine="220" w:firstLineChars="100"/>
              <w:rPr>
                <w:rFonts w:ascii="Times New Roman" w:hAnsi="Times New Roman" w:eastAsia="Times New Roman" w:cs="Times New Roman"/>
                <w:color w:val="000000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lang w:val="en-CA"/>
              </w:rPr>
              <w:t>Unapprove payments</w:t>
            </w:r>
          </w:p>
        </w:tc>
        <w:tc>
          <w:tcPr>
            <w:tcW w:w="28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7C56484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lang w:val="en-CA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lang w:val="en-CA"/>
              </w:rPr>
              <w:t>17</w:t>
            </w:r>
          </w:p>
        </w:tc>
      </w:tr>
      <w:tr w14:paraId="0C606A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90F9FBA">
            <w:pPr>
              <w:spacing w:after="0" w:line="240" w:lineRule="auto"/>
              <w:ind w:firstLine="220" w:firstLineChars="100"/>
              <w:rPr>
                <w:rFonts w:ascii="Times New Roman" w:hAnsi="Times New Roman" w:eastAsia="Times New Roman" w:cs="Times New Roman"/>
                <w:color w:val="000000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lang w:val="en-CA"/>
              </w:rPr>
              <w:t>Approved payments</w:t>
            </w:r>
          </w:p>
        </w:tc>
        <w:tc>
          <w:tcPr>
            <w:tcW w:w="28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76F8579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lang w:val="en-CA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lang w:val="en-CA"/>
              </w:rPr>
              <w:t>141</w:t>
            </w:r>
          </w:p>
        </w:tc>
      </w:tr>
      <w:tr w14:paraId="275354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2977" w:type="dxa"/>
            <w:tcBorders>
              <w:top w:val="single" w:color="44B3E1" w:sz="4" w:space="0"/>
              <w:left w:val="nil"/>
              <w:bottom w:val="nil"/>
              <w:right w:val="nil"/>
            </w:tcBorders>
            <w:shd w:val="clear" w:color="C0E6F5" w:fill="C0E6F5"/>
            <w:noWrap/>
            <w:vAlign w:val="bottom"/>
          </w:tcPr>
          <w:p w14:paraId="69D5CD28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lang w:val="en-US"/>
              </w:rPr>
              <w:t>Grand Total</w:t>
            </w:r>
          </w:p>
        </w:tc>
        <w:tc>
          <w:tcPr>
            <w:tcW w:w="2822" w:type="dxa"/>
            <w:tcBorders>
              <w:top w:val="single" w:color="44B3E1" w:sz="4" w:space="0"/>
              <w:left w:val="nil"/>
              <w:bottom w:val="nil"/>
              <w:right w:val="nil"/>
            </w:tcBorders>
            <w:shd w:val="clear" w:color="C0E6F5" w:fill="C0E6F5"/>
            <w:noWrap/>
            <w:vAlign w:val="bottom"/>
          </w:tcPr>
          <w:p w14:paraId="4A2C7A0E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lang w:val="en-CA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lang w:val="en-US"/>
              </w:rPr>
              <w:t>1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lang w:val="en-CA"/>
              </w:rPr>
              <w:t>58</w:t>
            </w:r>
          </w:p>
        </w:tc>
      </w:tr>
    </w:tbl>
    <w:p w14:paraId="6F02192C">
      <w:pPr>
        <w:spacing w:after="0" w:line="276" w:lineRule="auto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3.0 Risk Metrics</w:t>
      </w:r>
    </w:p>
    <w:p w14:paraId="43DF9C87">
      <w:pPr>
        <w:spacing w:after="0" w:line="276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The risk metrics is defined by the risk level rating, likelihood rating and impact rating. </w:t>
      </w:r>
    </w:p>
    <w:p w14:paraId="23E2B009">
      <w:pPr>
        <w:spacing w:after="0" w:line="276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4BCB500F">
      <w:pPr>
        <w:spacing w:after="0" w:line="276" w:lineRule="auto"/>
        <w:jc w:val="both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lang w:val="en-CA"/>
        </w:rPr>
        <w:t xml:space="preserve">3.1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Risk Level</w:t>
      </w:r>
    </w:p>
    <w:p w14:paraId="003CE0C5">
      <w:pPr>
        <w:spacing w:after="0" w:line="276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Risk level rating is defined by the </w:t>
      </w:r>
      <w:r>
        <w:rPr>
          <w:rFonts w:ascii="Times New Roman" w:hAnsi="Times New Roman" w:eastAsia="Times New Roman" w:cs="Times New Roman"/>
          <w:b/>
          <w:bCs/>
          <w:i/>
          <w:iCs/>
          <w:color w:val="000000"/>
          <w:sz w:val="24"/>
          <w:szCs w:val="24"/>
        </w:rPr>
        <w:t>likelihood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rating and </w:t>
      </w:r>
      <w:r>
        <w:rPr>
          <w:rFonts w:ascii="Times New Roman" w:hAnsi="Times New Roman" w:eastAsia="Times New Roman" w:cs="Times New Roman"/>
          <w:b/>
          <w:bCs/>
          <w:i/>
          <w:iCs/>
          <w:color w:val="000000"/>
          <w:sz w:val="24"/>
          <w:szCs w:val="24"/>
        </w:rPr>
        <w:t>impact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rating of each risk category. 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51"/>
        <w:gridCol w:w="3351"/>
      </w:tblGrid>
      <w:tr w14:paraId="3EB32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51" w:type="dxa"/>
          </w:tcPr>
          <w:p w14:paraId="713085F6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Risk Level</w:t>
            </w:r>
          </w:p>
        </w:tc>
        <w:tc>
          <w:tcPr>
            <w:tcW w:w="3351" w:type="dxa"/>
          </w:tcPr>
          <w:p w14:paraId="6D901A30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Rating</w:t>
            </w:r>
          </w:p>
        </w:tc>
      </w:tr>
      <w:tr w14:paraId="64483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51" w:type="dxa"/>
          </w:tcPr>
          <w:p w14:paraId="7AB9B211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Low Risk</w:t>
            </w:r>
          </w:p>
        </w:tc>
        <w:tc>
          <w:tcPr>
            <w:tcW w:w="3351" w:type="dxa"/>
          </w:tcPr>
          <w:p w14:paraId="40F11E8D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2 and below</w:t>
            </w:r>
          </w:p>
        </w:tc>
      </w:tr>
      <w:tr w14:paraId="7094B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51" w:type="dxa"/>
          </w:tcPr>
          <w:p w14:paraId="40CCDCE8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Medium Risk</w:t>
            </w:r>
          </w:p>
        </w:tc>
        <w:tc>
          <w:tcPr>
            <w:tcW w:w="3351" w:type="dxa"/>
          </w:tcPr>
          <w:p w14:paraId="0E4383C1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3 - 4</w:t>
            </w:r>
          </w:p>
        </w:tc>
      </w:tr>
      <w:tr w14:paraId="77225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51" w:type="dxa"/>
          </w:tcPr>
          <w:p w14:paraId="149D84F9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High Risk</w:t>
            </w:r>
          </w:p>
        </w:tc>
        <w:tc>
          <w:tcPr>
            <w:tcW w:w="3351" w:type="dxa"/>
          </w:tcPr>
          <w:p w14:paraId="7A0308B7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5 and above</w:t>
            </w:r>
          </w:p>
        </w:tc>
      </w:tr>
    </w:tbl>
    <w:p w14:paraId="5FBFFC54">
      <w:pPr>
        <w:spacing w:after="0" w:line="276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11C65BAB">
      <w:pPr>
        <w:spacing w:after="0" w:line="276" w:lineRule="auto"/>
        <w:jc w:val="both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lang w:val="en-CA"/>
        </w:rPr>
        <w:t xml:space="preserve">3.2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Likelihood</w:t>
      </w:r>
    </w:p>
    <w:p w14:paraId="3644BCE5">
      <w:pPr>
        <w:spacing w:after="0" w:line="276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Defined as the number of the affected transaction expressed as a percentage to the total number of transactions observed.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1"/>
        <w:gridCol w:w="2802"/>
        <w:gridCol w:w="2237"/>
      </w:tblGrid>
      <w:tr w14:paraId="7A065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1" w:type="dxa"/>
          </w:tcPr>
          <w:p w14:paraId="1375B5C5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Likelihood</w:t>
            </w:r>
          </w:p>
        </w:tc>
        <w:tc>
          <w:tcPr>
            <w:tcW w:w="2802" w:type="dxa"/>
          </w:tcPr>
          <w:p w14:paraId="25CB1205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Percentage Referred</w:t>
            </w:r>
          </w:p>
        </w:tc>
        <w:tc>
          <w:tcPr>
            <w:tcW w:w="2237" w:type="dxa"/>
          </w:tcPr>
          <w:p w14:paraId="6589455B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Rating</w:t>
            </w:r>
          </w:p>
        </w:tc>
      </w:tr>
      <w:tr w14:paraId="3F084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1" w:type="dxa"/>
          </w:tcPr>
          <w:p w14:paraId="60F1F6C6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Unlikely</w:t>
            </w:r>
          </w:p>
        </w:tc>
        <w:tc>
          <w:tcPr>
            <w:tcW w:w="2802" w:type="dxa"/>
          </w:tcPr>
          <w:p w14:paraId="3D94F4B4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Less than </w:t>
            </w: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  <w:lang w:val="en-CA"/>
              </w:rPr>
              <w:t>10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%</w:t>
            </w:r>
          </w:p>
        </w:tc>
        <w:tc>
          <w:tcPr>
            <w:tcW w:w="2237" w:type="dxa"/>
          </w:tcPr>
          <w:p w14:paraId="6F3BF339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14:paraId="2217F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1" w:type="dxa"/>
          </w:tcPr>
          <w:p w14:paraId="3CC56446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Likely</w:t>
            </w:r>
          </w:p>
        </w:tc>
        <w:tc>
          <w:tcPr>
            <w:tcW w:w="2802" w:type="dxa"/>
          </w:tcPr>
          <w:p w14:paraId="7BA4A6EB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Between </w:t>
            </w: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  <w:lang w:val="en-CA"/>
              </w:rPr>
              <w:t>10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% and 40%</w:t>
            </w:r>
          </w:p>
        </w:tc>
        <w:tc>
          <w:tcPr>
            <w:tcW w:w="2237" w:type="dxa"/>
          </w:tcPr>
          <w:p w14:paraId="074008B1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 w14:paraId="3E7D0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1" w:type="dxa"/>
          </w:tcPr>
          <w:p w14:paraId="1E942CC2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Very Likely</w:t>
            </w:r>
          </w:p>
        </w:tc>
        <w:tc>
          <w:tcPr>
            <w:tcW w:w="2802" w:type="dxa"/>
          </w:tcPr>
          <w:p w14:paraId="3585C028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Higher than 40%</w:t>
            </w:r>
          </w:p>
        </w:tc>
        <w:tc>
          <w:tcPr>
            <w:tcW w:w="2237" w:type="dxa"/>
          </w:tcPr>
          <w:p w14:paraId="6729826A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 w14:paraId="413CBEF2">
      <w:pPr>
        <w:spacing w:after="0" w:line="276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58ED3F8E">
      <w:pPr>
        <w:spacing w:after="0" w:line="276" w:lineRule="auto"/>
        <w:jc w:val="both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lang w:val="en-CA"/>
        </w:rPr>
        <w:t xml:space="preserve">3.3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Impact</w:t>
      </w:r>
    </w:p>
    <w:p w14:paraId="20AC0028">
      <w:pPr>
        <w:spacing w:after="0" w:line="276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Defined as the total amount value of the affected transactions. 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1"/>
        <w:gridCol w:w="2627"/>
        <w:gridCol w:w="2237"/>
        <w:gridCol w:w="2237"/>
      </w:tblGrid>
      <w:tr w14:paraId="04DBD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1" w:type="dxa"/>
          </w:tcPr>
          <w:p w14:paraId="018EC2A5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Impact Severity</w:t>
            </w:r>
          </w:p>
        </w:tc>
        <w:tc>
          <w:tcPr>
            <w:tcW w:w="2627" w:type="dxa"/>
          </w:tcPr>
          <w:p w14:paraId="5CCDEBB0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Percentage Referred</w:t>
            </w:r>
          </w:p>
        </w:tc>
        <w:tc>
          <w:tcPr>
            <w:tcW w:w="2237" w:type="dxa"/>
          </w:tcPr>
          <w:p w14:paraId="62D79E2C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Rating</w:t>
            </w:r>
          </w:p>
        </w:tc>
        <w:tc>
          <w:tcPr>
            <w:tcW w:w="2237" w:type="dxa"/>
          </w:tcPr>
          <w:p w14:paraId="109415CE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Investigation and Resolution Timeline</w:t>
            </w:r>
          </w:p>
        </w:tc>
      </w:tr>
      <w:tr w14:paraId="644C2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1" w:type="dxa"/>
          </w:tcPr>
          <w:p w14:paraId="01E50077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Minor</w:t>
            </w:r>
          </w:p>
        </w:tc>
        <w:tc>
          <w:tcPr>
            <w:tcW w:w="2627" w:type="dxa"/>
          </w:tcPr>
          <w:p w14:paraId="494F875B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Less than $10,000</w:t>
            </w:r>
          </w:p>
        </w:tc>
        <w:tc>
          <w:tcPr>
            <w:tcW w:w="2237" w:type="dxa"/>
          </w:tcPr>
          <w:p w14:paraId="0B089BC2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37" w:type="dxa"/>
          </w:tcPr>
          <w:p w14:paraId="75302C4A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Up to 2 months</w:t>
            </w:r>
          </w:p>
        </w:tc>
      </w:tr>
      <w:tr w14:paraId="01203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1" w:type="dxa"/>
          </w:tcPr>
          <w:p w14:paraId="58CC23C8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Serious</w:t>
            </w:r>
          </w:p>
        </w:tc>
        <w:tc>
          <w:tcPr>
            <w:tcW w:w="2627" w:type="dxa"/>
          </w:tcPr>
          <w:p w14:paraId="2A859543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Between $10,001 and $</w:t>
            </w: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  <w:lang w:val="en-CA"/>
              </w:rPr>
              <w:t>5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0,000</w:t>
            </w:r>
          </w:p>
        </w:tc>
        <w:tc>
          <w:tcPr>
            <w:tcW w:w="2237" w:type="dxa"/>
          </w:tcPr>
          <w:p w14:paraId="61BBEA81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237" w:type="dxa"/>
          </w:tcPr>
          <w:p w14:paraId="6E609B1D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Up to 1 month</w:t>
            </w:r>
          </w:p>
        </w:tc>
      </w:tr>
      <w:tr w14:paraId="73014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1" w:type="dxa"/>
          </w:tcPr>
          <w:p w14:paraId="4BAE52EA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Major</w:t>
            </w:r>
          </w:p>
        </w:tc>
        <w:tc>
          <w:tcPr>
            <w:tcW w:w="2627" w:type="dxa"/>
          </w:tcPr>
          <w:p w14:paraId="79AFBD50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Higher than $</w:t>
            </w: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  <w:lang w:val="en-CA"/>
              </w:rPr>
              <w:t>5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0,000</w:t>
            </w:r>
          </w:p>
        </w:tc>
        <w:tc>
          <w:tcPr>
            <w:tcW w:w="2237" w:type="dxa"/>
          </w:tcPr>
          <w:p w14:paraId="65FE975A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237" w:type="dxa"/>
          </w:tcPr>
          <w:p w14:paraId="20C11E2C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Up to 1 week</w:t>
            </w:r>
          </w:p>
        </w:tc>
      </w:tr>
    </w:tbl>
    <w:p w14:paraId="4BAE48FA">
      <w:pPr>
        <w:spacing w:after="0" w:line="276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41E18D5D">
      <w:pPr>
        <w:spacing w:after="0" w:line="276" w:lineRule="auto"/>
        <w:jc w:val="both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lang w:val="en-CA"/>
        </w:rPr>
        <w:t xml:space="preserve">3.4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Fraud Risk Area Risk Assessment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1"/>
        <w:gridCol w:w="1710"/>
        <w:gridCol w:w="1603"/>
        <w:gridCol w:w="1429"/>
        <w:gridCol w:w="1122"/>
        <w:gridCol w:w="1265"/>
        <w:gridCol w:w="1030"/>
      </w:tblGrid>
      <w:tr w14:paraId="4F4A3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1" w:type="dxa"/>
          </w:tcPr>
          <w:p w14:paraId="33335B93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Risk Category</w:t>
            </w:r>
          </w:p>
        </w:tc>
        <w:tc>
          <w:tcPr>
            <w:tcW w:w="3313" w:type="dxa"/>
            <w:gridSpan w:val="2"/>
          </w:tcPr>
          <w:p w14:paraId="2300365C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Likelihood</w:t>
            </w:r>
          </w:p>
        </w:tc>
        <w:tc>
          <w:tcPr>
            <w:tcW w:w="2551" w:type="dxa"/>
            <w:gridSpan w:val="2"/>
          </w:tcPr>
          <w:p w14:paraId="34CADEA0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Impact Severity</w:t>
            </w:r>
          </w:p>
        </w:tc>
        <w:tc>
          <w:tcPr>
            <w:tcW w:w="1265" w:type="dxa"/>
          </w:tcPr>
          <w:p w14:paraId="5E3D8EE2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Risk Rating</w:t>
            </w:r>
          </w:p>
        </w:tc>
        <w:tc>
          <w:tcPr>
            <w:tcW w:w="1030" w:type="dxa"/>
          </w:tcPr>
          <w:p w14:paraId="3AF07709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Risk Level </w:t>
            </w:r>
          </w:p>
        </w:tc>
      </w:tr>
      <w:tr w14:paraId="1B9C6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1" w:type="dxa"/>
          </w:tcPr>
          <w:p w14:paraId="6F95B691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</w:tcPr>
          <w:p w14:paraId="5D89D488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Percentage</w:t>
            </w:r>
          </w:p>
        </w:tc>
        <w:tc>
          <w:tcPr>
            <w:tcW w:w="1603" w:type="dxa"/>
          </w:tcPr>
          <w:p w14:paraId="0BAB48FD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Rating</w:t>
            </w:r>
          </w:p>
        </w:tc>
        <w:tc>
          <w:tcPr>
            <w:tcW w:w="1429" w:type="dxa"/>
          </w:tcPr>
          <w:p w14:paraId="451BD4BF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Amount</w:t>
            </w:r>
          </w:p>
        </w:tc>
        <w:tc>
          <w:tcPr>
            <w:tcW w:w="1122" w:type="dxa"/>
          </w:tcPr>
          <w:p w14:paraId="49F04BF4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Rating </w:t>
            </w:r>
          </w:p>
        </w:tc>
        <w:tc>
          <w:tcPr>
            <w:tcW w:w="1265" w:type="dxa"/>
          </w:tcPr>
          <w:p w14:paraId="57BD7E20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030" w:type="dxa"/>
          </w:tcPr>
          <w:p w14:paraId="1F51FDEE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14:paraId="5E638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1" w:type="dxa"/>
          </w:tcPr>
          <w:p w14:paraId="00F6D74C">
            <w:pPr>
              <w:pStyle w:val="9"/>
              <w:numPr>
                <w:ilvl w:val="0"/>
                <w:numId w:val="0"/>
              </w:numPr>
              <w:spacing w:after="0" w:line="276" w:lineRule="auto"/>
              <w:jc w:val="left"/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lang w:val="en-CA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lang w:val="en-CA"/>
              </w:rPr>
              <w:t>Caregiver With More Than Two Funding Type</w:t>
            </w:r>
          </w:p>
          <w:p w14:paraId="3CEF175C">
            <w:pPr>
              <w:spacing w:after="0" w:line="276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</w:tcPr>
          <w:p w14:paraId="3EEEB2E7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  <w:lang w:val="en-CA"/>
              </w:rPr>
              <w:t>67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%</w:t>
            </w:r>
          </w:p>
        </w:tc>
        <w:tc>
          <w:tcPr>
            <w:tcW w:w="1603" w:type="dxa"/>
          </w:tcPr>
          <w:p w14:paraId="66522BF2">
            <w:pPr>
              <w:spacing w:after="0" w:line="276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  <w:lang w:val="en-CA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  <w:lang w:val="en-CA"/>
              </w:rPr>
              <w:t>3</w:t>
            </w:r>
          </w:p>
        </w:tc>
        <w:tc>
          <w:tcPr>
            <w:tcW w:w="1429" w:type="dxa"/>
          </w:tcPr>
          <w:p w14:paraId="796CCF8F">
            <w:pPr>
              <w:spacing w:after="0" w:line="276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  <w:lang w:val="en-C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$</w:t>
            </w: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  <w:lang w:val="en-CA"/>
              </w:rPr>
              <w:t>201,996</w:t>
            </w:r>
          </w:p>
        </w:tc>
        <w:tc>
          <w:tcPr>
            <w:tcW w:w="1122" w:type="dxa"/>
          </w:tcPr>
          <w:p w14:paraId="3D70D2FE">
            <w:pPr>
              <w:spacing w:after="0" w:line="276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  <w:lang w:val="en-CA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  <w:lang w:val="en-CA"/>
              </w:rPr>
              <w:t>3</w:t>
            </w:r>
          </w:p>
        </w:tc>
        <w:tc>
          <w:tcPr>
            <w:tcW w:w="1265" w:type="dxa"/>
          </w:tcPr>
          <w:p w14:paraId="4D2D4055">
            <w:pPr>
              <w:spacing w:after="0" w:line="276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  <w:lang w:val="en-CA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  <w:lang w:val="en-CA"/>
              </w:rPr>
              <w:t>6</w:t>
            </w:r>
          </w:p>
        </w:tc>
        <w:tc>
          <w:tcPr>
            <w:tcW w:w="1030" w:type="dxa"/>
          </w:tcPr>
          <w:p w14:paraId="0B7CD994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High</w:t>
            </w:r>
          </w:p>
        </w:tc>
      </w:tr>
      <w:tr w14:paraId="710C8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1" w:type="dxa"/>
          </w:tcPr>
          <w:p w14:paraId="28F743FA">
            <w:pPr>
              <w:spacing w:after="0" w:line="276" w:lineRule="auto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lang w:val="en-CA"/>
              </w:rPr>
              <w:t>Single Payment of $3000 or More</w:t>
            </w:r>
          </w:p>
        </w:tc>
        <w:tc>
          <w:tcPr>
            <w:tcW w:w="1710" w:type="dxa"/>
          </w:tcPr>
          <w:p w14:paraId="03AC3624">
            <w:pPr>
              <w:spacing w:after="0" w:line="276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  <w:lang w:val="en-CA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  <w:lang w:val="en-CA"/>
              </w:rPr>
              <w:t>6.3%</w:t>
            </w:r>
          </w:p>
        </w:tc>
        <w:tc>
          <w:tcPr>
            <w:tcW w:w="1603" w:type="dxa"/>
          </w:tcPr>
          <w:p w14:paraId="00A5A2C7">
            <w:pPr>
              <w:spacing w:after="0" w:line="276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  <w:lang w:val="en-CA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  <w:lang w:val="en-CA"/>
              </w:rPr>
              <w:t>1</w:t>
            </w:r>
          </w:p>
        </w:tc>
        <w:tc>
          <w:tcPr>
            <w:tcW w:w="1429" w:type="dxa"/>
          </w:tcPr>
          <w:p w14:paraId="6D625966">
            <w:pPr>
              <w:spacing w:after="0" w:line="276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  <w:lang w:val="en-CA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$</w:t>
            </w: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  <w:lang w:val="en-CA"/>
              </w:rPr>
              <w:t>62,496</w:t>
            </w:r>
          </w:p>
        </w:tc>
        <w:tc>
          <w:tcPr>
            <w:tcW w:w="1122" w:type="dxa"/>
          </w:tcPr>
          <w:p w14:paraId="40641FCC">
            <w:pPr>
              <w:spacing w:after="0" w:line="276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  <w:lang w:val="en-CA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  <w:lang w:val="en-CA"/>
              </w:rPr>
              <w:t>3</w:t>
            </w:r>
          </w:p>
        </w:tc>
        <w:tc>
          <w:tcPr>
            <w:tcW w:w="1265" w:type="dxa"/>
          </w:tcPr>
          <w:p w14:paraId="0303058D">
            <w:pPr>
              <w:spacing w:after="0" w:line="276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  <w:lang w:val="en-CA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  <w:lang w:val="en-CA"/>
              </w:rPr>
              <w:t>4</w:t>
            </w:r>
          </w:p>
        </w:tc>
        <w:tc>
          <w:tcPr>
            <w:tcW w:w="1030" w:type="dxa"/>
          </w:tcPr>
          <w:p w14:paraId="3DCA8A08">
            <w:pPr>
              <w:spacing w:after="0" w:line="276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  <w:lang w:val="en-CA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  <w:lang w:val="en-CA"/>
              </w:rPr>
              <w:t>Medium</w:t>
            </w:r>
          </w:p>
        </w:tc>
      </w:tr>
      <w:tr w14:paraId="2E625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1" w:type="dxa"/>
          </w:tcPr>
          <w:p w14:paraId="62D4822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Total Payment To Each Caregiver Higher Than $10,000</w:t>
            </w:r>
          </w:p>
          <w:p w14:paraId="08601276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</w:tcPr>
          <w:p w14:paraId="68B0ED3D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  <w:lang w:val="en-CA"/>
              </w:rPr>
              <w:t>8.2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%</w:t>
            </w:r>
          </w:p>
        </w:tc>
        <w:tc>
          <w:tcPr>
            <w:tcW w:w="1603" w:type="dxa"/>
          </w:tcPr>
          <w:p w14:paraId="668A3C16">
            <w:pPr>
              <w:spacing w:after="0" w:line="276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  <w:lang w:val="en-CA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  <w:lang w:val="en-CA"/>
              </w:rPr>
              <w:t>1</w:t>
            </w:r>
          </w:p>
        </w:tc>
        <w:tc>
          <w:tcPr>
            <w:tcW w:w="1429" w:type="dxa"/>
          </w:tcPr>
          <w:p w14:paraId="60300CA7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$</w:t>
            </w: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  <w:lang w:val="en-CA"/>
              </w:rPr>
              <w:t>58,351</w:t>
            </w:r>
          </w:p>
        </w:tc>
        <w:tc>
          <w:tcPr>
            <w:tcW w:w="1122" w:type="dxa"/>
          </w:tcPr>
          <w:p w14:paraId="04084C98">
            <w:pPr>
              <w:spacing w:after="0" w:line="276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  <w:lang w:val="en-CA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  <w:lang w:val="en-CA"/>
              </w:rPr>
              <w:t>3</w:t>
            </w:r>
          </w:p>
        </w:tc>
        <w:tc>
          <w:tcPr>
            <w:tcW w:w="1265" w:type="dxa"/>
          </w:tcPr>
          <w:p w14:paraId="4E8C5A9E">
            <w:pPr>
              <w:spacing w:after="0" w:line="276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  <w:lang w:val="en-CA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  <w:lang w:val="en-CA"/>
              </w:rPr>
              <w:t>4</w:t>
            </w:r>
          </w:p>
        </w:tc>
        <w:tc>
          <w:tcPr>
            <w:tcW w:w="1030" w:type="dxa"/>
          </w:tcPr>
          <w:p w14:paraId="046D6429">
            <w:pPr>
              <w:spacing w:after="0" w:line="276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  <w:lang w:val="en-CA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  <w:lang w:val="en-CA"/>
              </w:rPr>
              <w:t>Medium</w:t>
            </w:r>
          </w:p>
        </w:tc>
      </w:tr>
      <w:tr w14:paraId="03AC6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1" w:type="dxa"/>
          </w:tcPr>
          <w:p w14:paraId="0E66C2F9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Duplicated Payments</w:t>
            </w:r>
          </w:p>
        </w:tc>
        <w:tc>
          <w:tcPr>
            <w:tcW w:w="1710" w:type="dxa"/>
          </w:tcPr>
          <w:p w14:paraId="1752855A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5</w:t>
            </w: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  <w:lang w:val="en-CA"/>
              </w:rPr>
              <w:t>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1%</w:t>
            </w:r>
          </w:p>
        </w:tc>
        <w:tc>
          <w:tcPr>
            <w:tcW w:w="1603" w:type="dxa"/>
          </w:tcPr>
          <w:p w14:paraId="53D29EB1">
            <w:pPr>
              <w:spacing w:after="0" w:line="276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  <w:lang w:val="en-CA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  <w:lang w:val="en-CA"/>
              </w:rPr>
              <w:t>1</w:t>
            </w:r>
          </w:p>
        </w:tc>
        <w:tc>
          <w:tcPr>
            <w:tcW w:w="1429" w:type="dxa"/>
          </w:tcPr>
          <w:p w14:paraId="521ED3B3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$</w:t>
            </w: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  <w:lang w:val="en-CA"/>
              </w:rPr>
              <w:t>30,462</w:t>
            </w:r>
          </w:p>
        </w:tc>
        <w:tc>
          <w:tcPr>
            <w:tcW w:w="1122" w:type="dxa"/>
          </w:tcPr>
          <w:p w14:paraId="3A72F494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265" w:type="dxa"/>
          </w:tcPr>
          <w:p w14:paraId="5223E0B0">
            <w:pPr>
              <w:spacing w:after="0" w:line="276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  <w:lang w:val="en-CA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  <w:lang w:val="en-CA"/>
              </w:rPr>
              <w:t>3</w:t>
            </w:r>
          </w:p>
        </w:tc>
        <w:tc>
          <w:tcPr>
            <w:tcW w:w="1030" w:type="dxa"/>
          </w:tcPr>
          <w:p w14:paraId="16A3DFB6">
            <w:pPr>
              <w:spacing w:after="0" w:line="276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  <w:lang w:val="en-CA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  <w:lang w:val="en-CA"/>
              </w:rPr>
              <w:t>Medium</w:t>
            </w:r>
          </w:p>
        </w:tc>
      </w:tr>
      <w:tr w14:paraId="58317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1" w:type="dxa"/>
          </w:tcPr>
          <w:p w14:paraId="08EB915A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Inactive Account With Payment Activity</w:t>
            </w:r>
          </w:p>
        </w:tc>
        <w:tc>
          <w:tcPr>
            <w:tcW w:w="1710" w:type="dxa"/>
          </w:tcPr>
          <w:p w14:paraId="5033EF01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  <w:lang w:val="en-CA"/>
              </w:rPr>
              <w:t>7.6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%</w:t>
            </w:r>
          </w:p>
        </w:tc>
        <w:tc>
          <w:tcPr>
            <w:tcW w:w="1603" w:type="dxa"/>
          </w:tcPr>
          <w:p w14:paraId="7364D3E0">
            <w:pPr>
              <w:spacing w:after="0" w:line="276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  <w:lang w:val="en-CA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  <w:lang w:val="en-CA"/>
              </w:rPr>
              <w:t>1</w:t>
            </w:r>
          </w:p>
        </w:tc>
        <w:tc>
          <w:tcPr>
            <w:tcW w:w="1429" w:type="dxa"/>
          </w:tcPr>
          <w:p w14:paraId="7E212265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$</w:t>
            </w: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  <w:lang w:val="en-CA"/>
              </w:rPr>
              <w:t>11,654</w:t>
            </w:r>
          </w:p>
        </w:tc>
        <w:tc>
          <w:tcPr>
            <w:tcW w:w="1122" w:type="dxa"/>
          </w:tcPr>
          <w:p w14:paraId="75AC893D">
            <w:pPr>
              <w:spacing w:after="0" w:line="276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  <w:lang w:val="en-CA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  <w:lang w:val="en-CA"/>
              </w:rPr>
              <w:t>2</w:t>
            </w:r>
          </w:p>
        </w:tc>
        <w:tc>
          <w:tcPr>
            <w:tcW w:w="1265" w:type="dxa"/>
          </w:tcPr>
          <w:p w14:paraId="663FEF65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030" w:type="dxa"/>
          </w:tcPr>
          <w:p w14:paraId="0C9591C1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Medium</w:t>
            </w:r>
          </w:p>
        </w:tc>
      </w:tr>
      <w:tr w14:paraId="69B4F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1" w:type="dxa"/>
          </w:tcPr>
          <w:p w14:paraId="7B67EC53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  <w:lang w:val="en-CA"/>
              </w:rPr>
              <w:t>Unapproved Payments</w:t>
            </w:r>
          </w:p>
        </w:tc>
        <w:tc>
          <w:tcPr>
            <w:tcW w:w="1710" w:type="dxa"/>
          </w:tcPr>
          <w:p w14:paraId="4D60DEEA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  <w:lang w:val="en-CA"/>
              </w:rPr>
              <w:t>10.8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%</w:t>
            </w:r>
          </w:p>
        </w:tc>
        <w:tc>
          <w:tcPr>
            <w:tcW w:w="1603" w:type="dxa"/>
          </w:tcPr>
          <w:p w14:paraId="1854A228">
            <w:pPr>
              <w:spacing w:after="0" w:line="276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  <w:lang w:val="en-CA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  <w:lang w:val="en-CA"/>
              </w:rPr>
              <w:t>2</w:t>
            </w:r>
          </w:p>
        </w:tc>
        <w:tc>
          <w:tcPr>
            <w:tcW w:w="1429" w:type="dxa"/>
          </w:tcPr>
          <w:p w14:paraId="01DDA8A2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$3</w:t>
            </w: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  <w:lang w:val="en-CA"/>
              </w:rPr>
              <w:t>4,457</w:t>
            </w:r>
          </w:p>
        </w:tc>
        <w:tc>
          <w:tcPr>
            <w:tcW w:w="1122" w:type="dxa"/>
          </w:tcPr>
          <w:p w14:paraId="38D25E41">
            <w:pPr>
              <w:spacing w:after="0" w:line="276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  <w:lang w:val="en-CA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  <w:lang w:val="en-CA"/>
              </w:rPr>
              <w:t>2</w:t>
            </w:r>
          </w:p>
        </w:tc>
        <w:tc>
          <w:tcPr>
            <w:tcW w:w="1265" w:type="dxa"/>
          </w:tcPr>
          <w:p w14:paraId="2F9B08FF">
            <w:pPr>
              <w:spacing w:after="0" w:line="276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  <w:lang w:val="en-CA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  <w:lang w:val="en-CA"/>
              </w:rPr>
              <w:t>4</w:t>
            </w:r>
          </w:p>
        </w:tc>
        <w:tc>
          <w:tcPr>
            <w:tcW w:w="1030" w:type="dxa"/>
          </w:tcPr>
          <w:p w14:paraId="23DC4895">
            <w:pPr>
              <w:spacing w:after="0" w:line="276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  <w:lang w:val="en-CA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  <w:lang w:val="en-CA"/>
              </w:rPr>
              <w:t>Medium</w:t>
            </w:r>
          </w:p>
        </w:tc>
      </w:tr>
    </w:tbl>
    <w:p w14:paraId="49B27F63">
      <w:pPr>
        <w:spacing w:after="0" w:line="276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68500DA0">
      <w:pPr>
        <w:spacing w:after="0" w:line="276" w:lineRule="auto"/>
        <w:jc w:val="both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sz w:val="24"/>
          <w:szCs w:val="24"/>
          <w:lang w:val="en-CA"/>
        </w:rPr>
        <w:t xml:space="preserve">3.5 </w:t>
      </w:r>
      <w:bookmarkStart w:id="0" w:name="_GoBack"/>
      <w:bookmarkEnd w:id="0"/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>Risk Areas Priority and Required Controls</w:t>
      </w:r>
    </w:p>
    <w:p w14:paraId="46F0C79A">
      <w:pPr>
        <w:keepNext w:val="0"/>
        <w:keepLines w:val="0"/>
        <w:widowControl/>
        <w:suppressLineNumbers w:val="0"/>
        <w:jc w:val="left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Due to scarce resource and budget constraints, the assessed risk areas must be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en-CA"/>
        </w:rPr>
        <w:t>prioritized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as follows considering the overall risk rating and the impact severity amounts. Controls to assist prevent, detect and correct the identified risk areas 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CA"/>
        </w:rPr>
        <w:t xml:space="preserve">guided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by COSO Internal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CA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Control - Integrated Framework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9"/>
        <w:gridCol w:w="2829"/>
        <w:gridCol w:w="6101"/>
      </w:tblGrid>
      <w:tr w14:paraId="7B4E6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 w14:paraId="0A72750A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Risk Priority</w:t>
            </w:r>
          </w:p>
        </w:tc>
        <w:tc>
          <w:tcPr>
            <w:tcW w:w="2829" w:type="dxa"/>
          </w:tcPr>
          <w:p w14:paraId="2CD981FD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>Risk Category</w:t>
            </w:r>
          </w:p>
        </w:tc>
        <w:tc>
          <w:tcPr>
            <w:tcW w:w="6101" w:type="dxa"/>
          </w:tcPr>
          <w:p w14:paraId="2F5C91AF">
            <w:pPr>
              <w:spacing w:after="16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Recommended Controls based on </w:t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COSO Internal</w:t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4"/>
                <w:szCs w:val="24"/>
                <w:lang w:val="en-CA" w:eastAsia="zh-CN" w:bidi="ar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Control - Integrated Framework</w:t>
            </w:r>
          </w:p>
        </w:tc>
      </w:tr>
      <w:tr w14:paraId="37F1C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2" w:hRule="atLeast"/>
        </w:trPr>
        <w:tc>
          <w:tcPr>
            <w:tcW w:w="704" w:type="dxa"/>
          </w:tcPr>
          <w:p w14:paraId="0D2983E5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29" w:type="dxa"/>
          </w:tcPr>
          <w:p w14:paraId="6A4E8C48">
            <w:pPr>
              <w:pStyle w:val="9"/>
              <w:numPr>
                <w:ilvl w:val="0"/>
                <w:numId w:val="0"/>
              </w:numPr>
              <w:spacing w:after="0" w:line="276" w:lineRule="auto"/>
              <w:jc w:val="left"/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lang w:val="en-CA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lang w:val="en-CA"/>
              </w:rPr>
              <w:t>Caregiver With More Than Two Funding Type</w:t>
            </w:r>
          </w:p>
          <w:p w14:paraId="4073D4D8">
            <w:pPr>
              <w:spacing w:after="0" w:line="276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101" w:type="dxa"/>
            <w:vMerge w:val="restart"/>
          </w:tcPr>
          <w:p w14:paraId="36C68D89">
            <w:pPr>
              <w:numPr>
                <w:numId w:val="0"/>
              </w:numPr>
              <w:spacing w:after="0" w:line="276" w:lineRule="auto"/>
              <w:ind w:leftChars="0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  <w:p w14:paraId="52DD766F">
            <w:pPr>
              <w:numPr>
                <w:ilvl w:val="0"/>
                <w:numId w:val="3"/>
              </w:numPr>
              <w:spacing w:after="0" w:line="276" w:lineRule="auto"/>
              <w:ind w:left="420" w:leftChars="0" w:hanging="420" w:firstLineChars="0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  <w:lang w:val="en-CA"/>
              </w:rPr>
              <w:t>Segregation of duties for case entry, review and approvals</w:t>
            </w:r>
          </w:p>
          <w:p w14:paraId="5643A547">
            <w:pPr>
              <w:numPr>
                <w:ilvl w:val="0"/>
                <w:numId w:val="3"/>
              </w:numPr>
              <w:spacing w:after="0" w:line="276" w:lineRule="auto"/>
              <w:ind w:left="420" w:leftChars="0" w:hanging="420" w:firstLineChars="0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  <w:lang w:val="en-CA"/>
              </w:rPr>
              <w:t>Mandatory dual-approval for high-value payments, special needs funding</w:t>
            </w:r>
          </w:p>
          <w:p w14:paraId="6EECB776">
            <w:pPr>
              <w:numPr>
                <w:ilvl w:val="0"/>
                <w:numId w:val="3"/>
              </w:numPr>
              <w:spacing w:after="0" w:line="276" w:lineRule="auto"/>
              <w:ind w:left="420" w:leftChars="0" w:hanging="420" w:firstLineChars="0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  <w:lang w:val="en-CA"/>
              </w:rPr>
              <w:t>Automated workflow that prevents a person from both creating and approving payments</w:t>
            </w:r>
          </w:p>
          <w:p w14:paraId="110D917E">
            <w:pPr>
              <w:numPr>
                <w:ilvl w:val="0"/>
                <w:numId w:val="3"/>
              </w:numPr>
              <w:spacing w:after="0" w:line="276" w:lineRule="auto"/>
              <w:ind w:left="420" w:leftChars="0" w:hanging="420" w:firstLineChars="0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  <w:lang w:val="en-CA"/>
              </w:rPr>
              <w:t>System enforced payment calculation rules</w:t>
            </w:r>
          </w:p>
          <w:p w14:paraId="54EF5526">
            <w:pPr>
              <w:numPr>
                <w:ilvl w:val="0"/>
                <w:numId w:val="3"/>
              </w:numPr>
              <w:spacing w:after="0" w:line="276" w:lineRule="auto"/>
              <w:ind w:left="420" w:leftChars="0" w:hanging="420" w:firstLineChars="0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  <w:lang w:val="en-CA"/>
              </w:rPr>
              <w:t>Automated caps on maximum allowable benefits</w:t>
            </w:r>
          </w:p>
          <w:p w14:paraId="7CB8FCC4">
            <w:pPr>
              <w:numPr>
                <w:ilvl w:val="0"/>
                <w:numId w:val="3"/>
              </w:numPr>
              <w:spacing w:after="0" w:line="276" w:lineRule="auto"/>
              <w:ind w:left="420" w:leftChars="0" w:hanging="420" w:firstLineChars="0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  <w:lang w:val="en-CA"/>
              </w:rPr>
              <w:t>System block to payments on inactive, suspended, or closed cases</w:t>
            </w:r>
          </w:p>
          <w:p w14:paraId="2B04B8D8">
            <w:pPr>
              <w:numPr>
                <w:ilvl w:val="0"/>
                <w:numId w:val="3"/>
              </w:numPr>
              <w:spacing w:after="0" w:line="276" w:lineRule="auto"/>
              <w:ind w:left="420" w:leftChars="0" w:hanging="420" w:firstLineChars="0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  <w:lang w:val="en-CA"/>
              </w:rPr>
              <w:t xml:space="preserve">Identity verification procedures for new beneficiaries </w:t>
            </w:r>
          </w:p>
          <w:p w14:paraId="6665EAF8">
            <w:pPr>
              <w:numPr>
                <w:ilvl w:val="0"/>
                <w:numId w:val="3"/>
              </w:numPr>
              <w:spacing w:after="0" w:line="276" w:lineRule="auto"/>
              <w:ind w:left="420" w:leftChars="0" w:hanging="420" w:firstLineChars="0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  <w:lang w:val="en-CA"/>
              </w:rPr>
              <w:t>Unique transaction idenfiiers and duplicate detection automation</w:t>
            </w:r>
          </w:p>
          <w:p w14:paraId="36411FAC">
            <w:pPr>
              <w:numPr>
                <w:ilvl w:val="0"/>
                <w:numId w:val="3"/>
              </w:numPr>
              <w:spacing w:after="0" w:line="276" w:lineRule="auto"/>
              <w:ind w:left="420" w:leftChars="0" w:hanging="420" w:firstLineChars="0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  <w:lang w:val="en-CA"/>
              </w:rPr>
              <w:t>Regular reconciliation and mandatory investigation</w:t>
            </w:r>
          </w:p>
          <w:p w14:paraId="242CC45B">
            <w:pPr>
              <w:numPr>
                <w:ilvl w:val="0"/>
                <w:numId w:val="3"/>
              </w:numPr>
              <w:spacing w:after="0" w:line="276" w:lineRule="auto"/>
              <w:ind w:left="420" w:leftChars="0" w:hanging="420" w:firstLineChars="0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  <w:lang w:val="en-CA"/>
              </w:rPr>
              <w:t xml:space="preserve">Risk-based monitoring </w:t>
            </w:r>
          </w:p>
          <w:p w14:paraId="0FA9BC8F">
            <w:pPr>
              <w:numPr>
                <w:ilvl w:val="0"/>
                <w:numId w:val="3"/>
              </w:numPr>
              <w:spacing w:after="0" w:line="276" w:lineRule="auto"/>
              <w:ind w:left="420" w:leftChars="0" w:hanging="420" w:firstLineChars="0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  <w:lang w:val="en-CA"/>
              </w:rPr>
              <w:t>Regular training and competency reviews</w:t>
            </w:r>
          </w:p>
          <w:p w14:paraId="79B6708E">
            <w:pPr>
              <w:numPr>
                <w:numId w:val="0"/>
              </w:numPr>
              <w:spacing w:after="0" w:line="276" w:lineRule="auto"/>
              <w:ind w:leftChars="0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  <w:p w14:paraId="6A4F55DB">
            <w:pPr>
              <w:spacing w:after="0" w:line="276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02E43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0" w:hRule="atLeast"/>
        </w:trPr>
        <w:tc>
          <w:tcPr>
            <w:tcW w:w="704" w:type="dxa"/>
          </w:tcPr>
          <w:p w14:paraId="2ED9B884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829" w:type="dxa"/>
          </w:tcPr>
          <w:p w14:paraId="525D48FB">
            <w:pPr>
              <w:spacing w:after="0" w:line="276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lang w:val="en-CA"/>
              </w:rPr>
              <w:t>Single Payment of $3000 or More</w:t>
            </w:r>
          </w:p>
        </w:tc>
        <w:tc>
          <w:tcPr>
            <w:tcW w:w="6101" w:type="dxa"/>
            <w:vMerge w:val="continue"/>
          </w:tcPr>
          <w:p w14:paraId="5FC593DB">
            <w:pPr>
              <w:spacing w:after="0" w:line="276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5DD0B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265" w:hRule="atLeast"/>
        </w:trPr>
        <w:tc>
          <w:tcPr>
            <w:tcW w:w="704" w:type="dxa"/>
          </w:tcPr>
          <w:p w14:paraId="1C5BEAEB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829" w:type="dxa"/>
          </w:tcPr>
          <w:p w14:paraId="4B6EA2ED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Total Payment To Each Caregiver Higher Than $10,000</w:t>
            </w:r>
          </w:p>
        </w:tc>
        <w:tc>
          <w:tcPr>
            <w:tcW w:w="6101" w:type="dxa"/>
            <w:vMerge w:val="continue"/>
          </w:tcPr>
          <w:p w14:paraId="6BC9329E">
            <w:pPr>
              <w:spacing w:after="0" w:line="276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33AC3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1" w:hRule="atLeast"/>
        </w:trPr>
        <w:tc>
          <w:tcPr>
            <w:tcW w:w="704" w:type="dxa"/>
          </w:tcPr>
          <w:p w14:paraId="52996053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829" w:type="dxa"/>
          </w:tcPr>
          <w:p w14:paraId="2AC64858">
            <w:pPr>
              <w:spacing w:after="0" w:line="276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Duplicated Payments</w:t>
            </w:r>
          </w:p>
        </w:tc>
        <w:tc>
          <w:tcPr>
            <w:tcW w:w="6101" w:type="dxa"/>
            <w:vMerge w:val="continue"/>
          </w:tcPr>
          <w:p w14:paraId="13D2279F">
            <w:pPr>
              <w:spacing w:after="0" w:line="276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64DDA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0" w:hRule="atLeast"/>
        </w:trPr>
        <w:tc>
          <w:tcPr>
            <w:tcW w:w="704" w:type="dxa"/>
          </w:tcPr>
          <w:p w14:paraId="6C4AF282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829" w:type="dxa"/>
          </w:tcPr>
          <w:p w14:paraId="161A144B">
            <w:pPr>
              <w:spacing w:after="0" w:line="276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Inactive Account With Payment Activity</w:t>
            </w:r>
          </w:p>
        </w:tc>
        <w:tc>
          <w:tcPr>
            <w:tcW w:w="6101" w:type="dxa"/>
            <w:vMerge w:val="continue"/>
          </w:tcPr>
          <w:p w14:paraId="01893D45">
            <w:pPr>
              <w:spacing w:after="0" w:line="276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E1F6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5" w:hRule="atLeast"/>
        </w:trPr>
        <w:tc>
          <w:tcPr>
            <w:tcW w:w="704" w:type="dxa"/>
          </w:tcPr>
          <w:p w14:paraId="31C4FDAD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2829" w:type="dxa"/>
          </w:tcPr>
          <w:p w14:paraId="34F900DB">
            <w:pPr>
              <w:spacing w:after="0" w:line="276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  <w:lang w:val="en-CA"/>
              </w:rPr>
              <w:t>Unapproved Payments</w:t>
            </w:r>
          </w:p>
        </w:tc>
        <w:tc>
          <w:tcPr>
            <w:tcW w:w="6101" w:type="dxa"/>
            <w:vMerge w:val="continue"/>
          </w:tcPr>
          <w:p w14:paraId="4FA2B1EA">
            <w:pPr>
              <w:spacing w:after="0" w:line="276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6AE84150">
      <w:pPr>
        <w:spacing w:after="0" w:line="276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sectPr>
      <w:footerReference r:id="rId5" w:type="default"/>
      <w:pgSz w:w="12240" w:h="15840"/>
      <w:pgMar w:top="851" w:right="1183" w:bottom="1135" w:left="993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633450214"/>
      <w:docPartObj>
        <w:docPartGallery w:val="AutoText"/>
      </w:docPartObj>
    </w:sdtPr>
    <w:sdtEndPr>
      <w:rPr>
        <w:color w:val="808080" w:themeColor="background1" w:themeShade="80"/>
        <w:spacing w:val="60"/>
      </w:rPr>
    </w:sdtEndPr>
    <w:sdtContent>
      <w:p w14:paraId="7882D959">
        <w:pPr>
          <w:pStyle w:val="5"/>
          <w:pBdr>
            <w:top w:val="single" w:color="D8D8D8" w:themeColor="background1" w:themeShade="D9" w:sz="4" w:space="1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3009AAE5">
    <w:pPr>
      <w:pStyle w:val="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09240E"/>
    <w:multiLevelType w:val="multilevel"/>
    <w:tmpl w:val="0A09240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0DDD3B19"/>
    <w:multiLevelType w:val="singleLevel"/>
    <w:tmpl w:val="0DDD3B1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2">
    <w:nsid w:val="3E545F00"/>
    <w:multiLevelType w:val="multilevel"/>
    <w:tmpl w:val="3E545F0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rK0MDMzszA0MTWzNDVU0lEKTi0uzszPAykwrQUARHMuTSwAAAA="/>
  </w:docVars>
  <w:rsids>
    <w:rsidRoot w:val="00D57B3B"/>
    <w:rsid w:val="00003782"/>
    <w:rsid w:val="00005E47"/>
    <w:rsid w:val="00015E1E"/>
    <w:rsid w:val="00031DE4"/>
    <w:rsid w:val="000620C9"/>
    <w:rsid w:val="00083277"/>
    <w:rsid w:val="000833FF"/>
    <w:rsid w:val="000A1BC0"/>
    <w:rsid w:val="000A4B99"/>
    <w:rsid w:val="000C2605"/>
    <w:rsid w:val="000D3181"/>
    <w:rsid w:val="000E0512"/>
    <w:rsid w:val="000E3A35"/>
    <w:rsid w:val="000E6426"/>
    <w:rsid w:val="000E691B"/>
    <w:rsid w:val="000F543B"/>
    <w:rsid w:val="00103309"/>
    <w:rsid w:val="001044D8"/>
    <w:rsid w:val="00114217"/>
    <w:rsid w:val="0012256A"/>
    <w:rsid w:val="001304E2"/>
    <w:rsid w:val="00133287"/>
    <w:rsid w:val="0014035D"/>
    <w:rsid w:val="00140DF1"/>
    <w:rsid w:val="00152B36"/>
    <w:rsid w:val="001560AD"/>
    <w:rsid w:val="00183CA4"/>
    <w:rsid w:val="001844C6"/>
    <w:rsid w:val="00197E6A"/>
    <w:rsid w:val="001A30A6"/>
    <w:rsid w:val="001A3DBC"/>
    <w:rsid w:val="001A7740"/>
    <w:rsid w:val="001C0F59"/>
    <w:rsid w:val="001C4BF3"/>
    <w:rsid w:val="001D1306"/>
    <w:rsid w:val="001D6DC3"/>
    <w:rsid w:val="001E1C2E"/>
    <w:rsid w:val="001E7457"/>
    <w:rsid w:val="001E75D5"/>
    <w:rsid w:val="001F209D"/>
    <w:rsid w:val="001F3A6E"/>
    <w:rsid w:val="002147AD"/>
    <w:rsid w:val="0024742D"/>
    <w:rsid w:val="00251D76"/>
    <w:rsid w:val="002615CA"/>
    <w:rsid w:val="00273F4E"/>
    <w:rsid w:val="002A2CD8"/>
    <w:rsid w:val="002A7715"/>
    <w:rsid w:val="002B4102"/>
    <w:rsid w:val="002C296F"/>
    <w:rsid w:val="002C3480"/>
    <w:rsid w:val="002D1009"/>
    <w:rsid w:val="002D2198"/>
    <w:rsid w:val="002E22BF"/>
    <w:rsid w:val="002E7EF9"/>
    <w:rsid w:val="002F30A7"/>
    <w:rsid w:val="002F42F9"/>
    <w:rsid w:val="002F4BC7"/>
    <w:rsid w:val="00301CA1"/>
    <w:rsid w:val="00323F9B"/>
    <w:rsid w:val="00331E8E"/>
    <w:rsid w:val="00340B19"/>
    <w:rsid w:val="00343B68"/>
    <w:rsid w:val="00347E3E"/>
    <w:rsid w:val="00352D95"/>
    <w:rsid w:val="00352FA7"/>
    <w:rsid w:val="003663F9"/>
    <w:rsid w:val="00374324"/>
    <w:rsid w:val="00380671"/>
    <w:rsid w:val="0039425C"/>
    <w:rsid w:val="003C1B43"/>
    <w:rsid w:val="003C58F1"/>
    <w:rsid w:val="003C6DCC"/>
    <w:rsid w:val="003C753B"/>
    <w:rsid w:val="003D376A"/>
    <w:rsid w:val="003D6B0F"/>
    <w:rsid w:val="003F094C"/>
    <w:rsid w:val="003F4FE8"/>
    <w:rsid w:val="003F6E99"/>
    <w:rsid w:val="003F7987"/>
    <w:rsid w:val="00414575"/>
    <w:rsid w:val="0044253F"/>
    <w:rsid w:val="00443E8E"/>
    <w:rsid w:val="00452494"/>
    <w:rsid w:val="00463CB8"/>
    <w:rsid w:val="0046748A"/>
    <w:rsid w:val="00476A59"/>
    <w:rsid w:val="004851A0"/>
    <w:rsid w:val="004A2C25"/>
    <w:rsid w:val="004A450F"/>
    <w:rsid w:val="004B0A99"/>
    <w:rsid w:val="004C04BF"/>
    <w:rsid w:val="004C129D"/>
    <w:rsid w:val="004D7D2F"/>
    <w:rsid w:val="004F0034"/>
    <w:rsid w:val="004F0747"/>
    <w:rsid w:val="004F1163"/>
    <w:rsid w:val="005100D9"/>
    <w:rsid w:val="00524AEE"/>
    <w:rsid w:val="00524FA9"/>
    <w:rsid w:val="005367FF"/>
    <w:rsid w:val="00537003"/>
    <w:rsid w:val="00554F37"/>
    <w:rsid w:val="00557106"/>
    <w:rsid w:val="0057362A"/>
    <w:rsid w:val="00584C69"/>
    <w:rsid w:val="00584CAB"/>
    <w:rsid w:val="00585763"/>
    <w:rsid w:val="00585791"/>
    <w:rsid w:val="0059224E"/>
    <w:rsid w:val="00594708"/>
    <w:rsid w:val="0059476A"/>
    <w:rsid w:val="005A1A83"/>
    <w:rsid w:val="005A6103"/>
    <w:rsid w:val="005C42C2"/>
    <w:rsid w:val="005D0824"/>
    <w:rsid w:val="005D356E"/>
    <w:rsid w:val="005E3DEA"/>
    <w:rsid w:val="005E4DF5"/>
    <w:rsid w:val="00603B6E"/>
    <w:rsid w:val="006055F1"/>
    <w:rsid w:val="00607B35"/>
    <w:rsid w:val="00614D1E"/>
    <w:rsid w:val="00621510"/>
    <w:rsid w:val="00621884"/>
    <w:rsid w:val="00644052"/>
    <w:rsid w:val="006452C5"/>
    <w:rsid w:val="006454BA"/>
    <w:rsid w:val="00645C76"/>
    <w:rsid w:val="006558E0"/>
    <w:rsid w:val="00671451"/>
    <w:rsid w:val="00676FC0"/>
    <w:rsid w:val="00693B1F"/>
    <w:rsid w:val="00697775"/>
    <w:rsid w:val="006F17B1"/>
    <w:rsid w:val="006F4545"/>
    <w:rsid w:val="0071317D"/>
    <w:rsid w:val="0072577C"/>
    <w:rsid w:val="007257B5"/>
    <w:rsid w:val="007435B6"/>
    <w:rsid w:val="0074573A"/>
    <w:rsid w:val="00750426"/>
    <w:rsid w:val="00765072"/>
    <w:rsid w:val="007752AE"/>
    <w:rsid w:val="007912B4"/>
    <w:rsid w:val="007A6C31"/>
    <w:rsid w:val="007B2CF2"/>
    <w:rsid w:val="007B48FA"/>
    <w:rsid w:val="007C6022"/>
    <w:rsid w:val="007D645C"/>
    <w:rsid w:val="007E6E19"/>
    <w:rsid w:val="007F3D80"/>
    <w:rsid w:val="007F492D"/>
    <w:rsid w:val="007F4A37"/>
    <w:rsid w:val="007F509D"/>
    <w:rsid w:val="00801C82"/>
    <w:rsid w:val="00812083"/>
    <w:rsid w:val="00820482"/>
    <w:rsid w:val="00832B9B"/>
    <w:rsid w:val="00833556"/>
    <w:rsid w:val="00836081"/>
    <w:rsid w:val="00845DFD"/>
    <w:rsid w:val="0085409D"/>
    <w:rsid w:val="008653A2"/>
    <w:rsid w:val="00885E50"/>
    <w:rsid w:val="00886646"/>
    <w:rsid w:val="00890504"/>
    <w:rsid w:val="008A2829"/>
    <w:rsid w:val="008D2347"/>
    <w:rsid w:val="008D656B"/>
    <w:rsid w:val="008E1ACA"/>
    <w:rsid w:val="008F7AAD"/>
    <w:rsid w:val="0090099B"/>
    <w:rsid w:val="00900EB2"/>
    <w:rsid w:val="009028CA"/>
    <w:rsid w:val="00902C12"/>
    <w:rsid w:val="00907ACA"/>
    <w:rsid w:val="00937505"/>
    <w:rsid w:val="00951522"/>
    <w:rsid w:val="00955807"/>
    <w:rsid w:val="00957E5F"/>
    <w:rsid w:val="00961C03"/>
    <w:rsid w:val="009624A3"/>
    <w:rsid w:val="0098670B"/>
    <w:rsid w:val="00992F19"/>
    <w:rsid w:val="009D05F4"/>
    <w:rsid w:val="009D1497"/>
    <w:rsid w:val="009D2D61"/>
    <w:rsid w:val="00A05342"/>
    <w:rsid w:val="00A13F86"/>
    <w:rsid w:val="00A162C2"/>
    <w:rsid w:val="00A2070C"/>
    <w:rsid w:val="00A20CBC"/>
    <w:rsid w:val="00A360DF"/>
    <w:rsid w:val="00A55400"/>
    <w:rsid w:val="00A67213"/>
    <w:rsid w:val="00A73F53"/>
    <w:rsid w:val="00A76A90"/>
    <w:rsid w:val="00A81BF8"/>
    <w:rsid w:val="00A82216"/>
    <w:rsid w:val="00A861DB"/>
    <w:rsid w:val="00A91FDF"/>
    <w:rsid w:val="00A97501"/>
    <w:rsid w:val="00AA1EB9"/>
    <w:rsid w:val="00AA7E39"/>
    <w:rsid w:val="00AB2576"/>
    <w:rsid w:val="00AB2F3D"/>
    <w:rsid w:val="00AD1FAE"/>
    <w:rsid w:val="00AD4C65"/>
    <w:rsid w:val="00AF7134"/>
    <w:rsid w:val="00AF796A"/>
    <w:rsid w:val="00B10DD4"/>
    <w:rsid w:val="00B44F5D"/>
    <w:rsid w:val="00B64D18"/>
    <w:rsid w:val="00B84B84"/>
    <w:rsid w:val="00B93AAC"/>
    <w:rsid w:val="00B95CBE"/>
    <w:rsid w:val="00BB0E00"/>
    <w:rsid w:val="00BB68BB"/>
    <w:rsid w:val="00BE255E"/>
    <w:rsid w:val="00BF4B2B"/>
    <w:rsid w:val="00BF7FC2"/>
    <w:rsid w:val="00C0317C"/>
    <w:rsid w:val="00C038A8"/>
    <w:rsid w:val="00C067E6"/>
    <w:rsid w:val="00C07E2B"/>
    <w:rsid w:val="00C23A25"/>
    <w:rsid w:val="00C2656F"/>
    <w:rsid w:val="00C73E65"/>
    <w:rsid w:val="00C80198"/>
    <w:rsid w:val="00C80674"/>
    <w:rsid w:val="00C947FA"/>
    <w:rsid w:val="00CB678E"/>
    <w:rsid w:val="00CC1CB3"/>
    <w:rsid w:val="00CC5C33"/>
    <w:rsid w:val="00CD1A8F"/>
    <w:rsid w:val="00CD21C3"/>
    <w:rsid w:val="00CE62C8"/>
    <w:rsid w:val="00CF3DAC"/>
    <w:rsid w:val="00D033E0"/>
    <w:rsid w:val="00D14D9F"/>
    <w:rsid w:val="00D241A4"/>
    <w:rsid w:val="00D2487B"/>
    <w:rsid w:val="00D42091"/>
    <w:rsid w:val="00D57B3B"/>
    <w:rsid w:val="00D644C8"/>
    <w:rsid w:val="00D64CAB"/>
    <w:rsid w:val="00D6602F"/>
    <w:rsid w:val="00D703D3"/>
    <w:rsid w:val="00D86A0D"/>
    <w:rsid w:val="00DA48AC"/>
    <w:rsid w:val="00DA6CDD"/>
    <w:rsid w:val="00DB13F2"/>
    <w:rsid w:val="00DC7C2D"/>
    <w:rsid w:val="00DD5D3B"/>
    <w:rsid w:val="00DF24DF"/>
    <w:rsid w:val="00DF452D"/>
    <w:rsid w:val="00E05AE1"/>
    <w:rsid w:val="00E0762F"/>
    <w:rsid w:val="00E13CC7"/>
    <w:rsid w:val="00E14A40"/>
    <w:rsid w:val="00E152A0"/>
    <w:rsid w:val="00E1643C"/>
    <w:rsid w:val="00E21A67"/>
    <w:rsid w:val="00E8380F"/>
    <w:rsid w:val="00E91B99"/>
    <w:rsid w:val="00E97F0E"/>
    <w:rsid w:val="00EA02A0"/>
    <w:rsid w:val="00EA6515"/>
    <w:rsid w:val="00EA773C"/>
    <w:rsid w:val="00ED4ACF"/>
    <w:rsid w:val="00EE6849"/>
    <w:rsid w:val="00EE6C5D"/>
    <w:rsid w:val="00EF0993"/>
    <w:rsid w:val="00F22535"/>
    <w:rsid w:val="00F30A19"/>
    <w:rsid w:val="00F376C2"/>
    <w:rsid w:val="00F47048"/>
    <w:rsid w:val="00F52911"/>
    <w:rsid w:val="00F60F6B"/>
    <w:rsid w:val="00F6528F"/>
    <w:rsid w:val="00F66C86"/>
    <w:rsid w:val="00F74EF4"/>
    <w:rsid w:val="00F81996"/>
    <w:rsid w:val="00F958E7"/>
    <w:rsid w:val="00FA778D"/>
    <w:rsid w:val="00FE3CD4"/>
    <w:rsid w:val="03F60584"/>
    <w:rsid w:val="0EA042C5"/>
    <w:rsid w:val="13262C02"/>
    <w:rsid w:val="150366BF"/>
    <w:rsid w:val="16BF21A1"/>
    <w:rsid w:val="1A776BF5"/>
    <w:rsid w:val="1D344636"/>
    <w:rsid w:val="22135D23"/>
    <w:rsid w:val="291C1DF7"/>
    <w:rsid w:val="292954B1"/>
    <w:rsid w:val="2A0A3AF0"/>
    <w:rsid w:val="2B8E0647"/>
    <w:rsid w:val="34316A94"/>
    <w:rsid w:val="344C5269"/>
    <w:rsid w:val="43CF1AD2"/>
    <w:rsid w:val="48573FB3"/>
    <w:rsid w:val="4CDA2830"/>
    <w:rsid w:val="507D161F"/>
    <w:rsid w:val="522D247A"/>
    <w:rsid w:val="53EC44D0"/>
    <w:rsid w:val="54FD7A40"/>
    <w:rsid w:val="563A3A59"/>
    <w:rsid w:val="60B41D79"/>
    <w:rsid w:val="738C3751"/>
    <w:rsid w:val="78E514DB"/>
    <w:rsid w:val="7ADA68CC"/>
    <w:rsid w:val="7DB857D9"/>
    <w:rsid w:val="7E015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CA" w:eastAsia="en-US" w:bidi="ar-SA"/>
    </w:rPr>
  </w:style>
  <w:style w:type="paragraph" w:styleId="2">
    <w:name w:val="heading 1"/>
    <w:basedOn w:val="1"/>
    <w:next w:val="1"/>
    <w:link w:val="14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  <w:lang w:val="en-US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3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6">
    <w:name w:val="header"/>
    <w:basedOn w:val="1"/>
    <w:link w:val="12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7">
    <w:name w:val="Hyperlink"/>
    <w:basedOn w:val="3"/>
    <w:unhideWhenUsed/>
    <w:qFormat/>
    <w:uiPriority w:val="99"/>
    <w:rPr>
      <w:color w:val="0000FF"/>
      <w:u w:val="single"/>
    </w:rPr>
  </w:style>
  <w:style w:type="table" w:styleId="8">
    <w:name w:val="Table Grid"/>
    <w:basedOn w:val="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List Paragraph"/>
    <w:basedOn w:val="1"/>
    <w:qFormat/>
    <w:uiPriority w:val="34"/>
    <w:pPr>
      <w:ind w:left="720"/>
      <w:contextualSpacing/>
    </w:pPr>
  </w:style>
  <w:style w:type="paragraph" w:styleId="10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CA" w:eastAsia="en-US" w:bidi="ar-SA"/>
    </w:rPr>
  </w:style>
  <w:style w:type="character" w:customStyle="1" w:styleId="11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2">
    <w:name w:val="Header Char"/>
    <w:basedOn w:val="3"/>
    <w:link w:val="6"/>
    <w:uiPriority w:val="99"/>
  </w:style>
  <w:style w:type="character" w:customStyle="1" w:styleId="13">
    <w:name w:val="Footer Char"/>
    <w:basedOn w:val="3"/>
    <w:link w:val="5"/>
    <w:uiPriority w:val="99"/>
  </w:style>
  <w:style w:type="character" w:customStyle="1" w:styleId="14">
    <w:name w:val="Heading 1 Char"/>
    <w:basedOn w:val="3"/>
    <w:link w:val="2"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  <w:lang w:val="en-US"/>
    </w:rPr>
  </w:style>
  <w:style w:type="paragraph" w:customStyle="1" w:styleId="15">
    <w:name w:val="Bibliography"/>
    <w:basedOn w:val="1"/>
    <w:next w:val="1"/>
    <w:unhideWhenUsed/>
    <w:qFormat/>
    <w:uiPriority w:val="37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CIS24</b:Tag>
    <b:SourceType>InternetSite</b:SourceType>
    <b:Guid>{BE742C5E-A07A-44DA-BABD-10D19F0A8FE1}</b:Guid>
    <b:Author>
      <b:Author>
        <b:Corporate>CIS</b:Corporate>
      </b:Author>
    </b:Author>
    <b:Title>Software Download</b:Title>
    <b:Year>2024</b:Year>
    <b:Month>March</b:Month>
    <b:Day>27</b:Day>
    <b:URL>https://www.cisecurity.org/cis-benchmarks/cis-benchmarks-faq</b:URL>
    <b:RefOrder>1</b:RefOrder>
  </b:Source>
  <b:Source>
    <b:Tag>CIS21</b:Tag>
    <b:SourceType>JournalArticle</b:SourceType>
    <b:Guid>{0895B4FF-F52A-445F-9D2F-1A3F57EF041F}</b:Guid>
    <b:Author>
      <b:Author>
        <b:Corporate>CIS</b:Corporate>
      </b:Author>
    </b:Author>
    <b:Title>Version 8</b:Title>
    <b:JournalName>CIS Critical Security Controls</b:JournalName>
    <b:Year>2021</b:Year>
    <b:RefOrder>2</b:RefOrder>
  </b:Source>
</b:Sources>
</file>

<file path=customXml/itemProps1.xml><?xml version="1.0" encoding="utf-8"?>
<ds:datastoreItem xmlns:ds="http://schemas.openxmlformats.org/officeDocument/2006/customXml" ds:itemID="{6EEF7E7B-9FE9-4862-B66F-63A1EB36699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Concordia University of Edmonton</Company>
  <Pages>5</Pages>
  <Words>1202</Words>
  <Characters>6605</Characters>
  <Lines>51</Lines>
  <Paragraphs>14</Paragraphs>
  <TotalTime>21</TotalTime>
  <ScaleCrop>false</ScaleCrop>
  <LinksUpToDate>false</LinksUpToDate>
  <CharactersWithSpaces>7582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2025-09-13T04:28:00Z</dcterms:created>
  <dc:creator>IT Services</dc:creator>
  <cp:lastModifiedBy>Stephen</cp:lastModifiedBy>
  <cp:lastPrinted>2025-09-18T06:30:00Z</cp:lastPrinted>
  <dcterms:modified xsi:type="dcterms:W3CDTF">2025-11-25T05:37:14Z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bf4a50e718351fe609a9a53885ae4366174eec4f96e7b78e4ea8484b08f7fb4f</vt:lpwstr>
  </property>
  <property fmtid="{D5CDD505-2E9C-101B-9397-08002B2CF9AE}" pid="3" name="KSOProductBuildVer">
    <vt:lpwstr>2057-12.2.0.23155</vt:lpwstr>
  </property>
  <property fmtid="{D5CDD505-2E9C-101B-9397-08002B2CF9AE}" pid="4" name="ICV">
    <vt:lpwstr>6F12655AAC024FAC98EB2C11F7B68AA3_13</vt:lpwstr>
  </property>
</Properties>
</file>