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7887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需求文档</w:t>
      </w:r>
    </w:p>
    <w:p w14:paraId="3B857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</w:t>
      </w:r>
      <w:r>
        <w:rPr>
          <w:rFonts w:ascii="Arial" w:hAnsi="Arial" w:eastAsia="等线" w:cs="Arial"/>
          <w:b/>
          <w:sz w:val="22"/>
        </w:rPr>
        <w:t>结构化分区、语义清晰、字段标准化、无冗余信息</w:t>
      </w:r>
      <w:r>
        <w:rPr>
          <w:rFonts w:ascii="Arial" w:hAnsi="Arial" w:eastAsia="等线" w:cs="Arial"/>
          <w:sz w:val="22"/>
        </w:rPr>
        <w:t>，贴合通义千问对“明确指令+固定格式”的识别偏好，让大模型快速提取“模块-功能-规则-约束”，生成规范测试用例（适配通义千问API调用，无需额外优化Prompt）。</w:t>
      </w:r>
    </w:p>
    <w:p w14:paraId="73094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说明：本模板可直接在Word（docx）中编辑，所有标题层级、字段名称严格沿用，避免自定义修改；内容填写时，按原有示例规范表述，减少模糊化、口语化描述，确保测试用例覆盖正常/异常/边界场景。</w:t>
      </w:r>
    </w:p>
    <w:p w14:paraId="408F803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一、文档封面（必选，统一格式）</w:t>
      </w:r>
      <w:bookmarkEnd w:id="0"/>
    </w:p>
    <w:p w14:paraId="32A66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（居中对齐，字体加粗，无需多余装饰，核心信息明确，便于大模型快速识别文档主体）</w:t>
      </w:r>
    </w:p>
    <w:p w14:paraId="4E7B8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标题：【</w:t>
      </w:r>
      <w:r>
        <w:rPr>
          <w:rFonts w:hint="eastAsia" w:ascii="Arial" w:hAnsi="Arial" w:eastAsia="等线" w:cs="Arial"/>
          <w:sz w:val="22"/>
          <w:lang w:val="en-US" w:eastAsia="zh-CN"/>
        </w:rPr>
        <w:t>专病库</w:t>
      </w:r>
      <w:r>
        <w:rPr>
          <w:rFonts w:ascii="Arial" w:hAnsi="Arial" w:eastAsia="等线" w:cs="Arial"/>
          <w:sz w:val="22"/>
        </w:rPr>
        <w:t>】需求规格说明书</w:t>
      </w:r>
    </w:p>
    <w:p w14:paraId="14B3E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副标题：适配通义千问API，结构化需求提取</w:t>
      </w:r>
    </w:p>
    <w:p w14:paraId="270BB1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补充信息（左对齐，下一行）：版本号：__</w:t>
      </w:r>
      <w:r>
        <w:rPr>
          <w:rFonts w:hint="eastAsia" w:ascii="Arial" w:hAnsi="Arial" w:eastAsia="等线" w:cs="Arial"/>
          <w:sz w:val="22"/>
          <w:lang w:val="en-US" w:eastAsia="zh-CN"/>
        </w:rPr>
        <w:t>1.1</w:t>
      </w:r>
      <w:r>
        <w:rPr>
          <w:rFonts w:ascii="Arial" w:hAnsi="Arial" w:eastAsia="等线" w:cs="Arial"/>
          <w:sz w:val="22"/>
        </w:rPr>
        <w:t>____ | 编制人：__</w:t>
      </w:r>
      <w:r>
        <w:rPr>
          <w:rFonts w:hint="eastAsia" w:ascii="Arial" w:hAnsi="Arial" w:eastAsia="等线" w:cs="Arial"/>
          <w:sz w:val="22"/>
          <w:lang w:val="en-US" w:eastAsia="zh-CN"/>
        </w:rPr>
        <w:t>金浩</w:t>
      </w:r>
      <w:r>
        <w:rPr>
          <w:rFonts w:ascii="Arial" w:hAnsi="Arial" w:eastAsia="等线" w:cs="Arial"/>
          <w:sz w:val="22"/>
        </w:rPr>
        <w:t>____ | 编制日期：_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_____-_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_____-__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bookmarkStart w:id="22" w:name="_GoBack"/>
      <w:bookmarkEnd w:id="22"/>
      <w:r>
        <w:rPr>
          <w:rFonts w:ascii="Arial" w:hAnsi="Arial" w:eastAsia="等线" w:cs="Arial"/>
          <w:sz w:val="22"/>
        </w:rPr>
        <w:t>____</w:t>
      </w:r>
    </w:p>
    <w:p w14:paraId="5C33FCB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二、文档目录（必选，自动生成）</w:t>
      </w:r>
      <w:bookmarkEnd w:id="1"/>
    </w:p>
    <w:p w14:paraId="4F0A3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操作方式：Word中“引用”→“目录”→“自动目录1”，确保所有一级/二级/三级标题自动收录，便于大模型定位各模块需求，避免遗漏。</w:t>
      </w:r>
    </w:p>
    <w:p w14:paraId="108AE14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三、核心需求总览（必选，全局说明）</w:t>
      </w:r>
      <w:bookmarkEnd w:id="2"/>
    </w:p>
    <w:p w14:paraId="1C7C5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（简洁概括项目核心目标、测试范围，避免冗余，让大模型快速明确整体需求边界）</w:t>
      </w:r>
    </w:p>
    <w:p w14:paraId="2FED384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项目核心目标</w:t>
      </w:r>
      <w:bookmarkEnd w:id="3"/>
    </w:p>
    <w:p w14:paraId="2D4D6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格式：一句话概括，明确项目核心功能/用途，示例：本项目为XX管理系统，核心实现用户注册、登录、数据查询与提交功能，保障操作流畅性与数据准确性，本次测试覆盖所有核心功能模块。</w:t>
      </w:r>
    </w:p>
    <w:p w14:paraId="03490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784F8A8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测试范围说明（明确大模型生成用例的边界）</w:t>
      </w:r>
      <w:bookmarkEnd w:id="4"/>
    </w:p>
    <w:p w14:paraId="7E5A9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格式：分点列出，用“包含”“不包含”明确，填写时替换示例内容，无需修改分点格式。</w:t>
      </w:r>
    </w:p>
    <w:p w14:paraId="2495A8A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包含：________________________________________________________________________________；</w:t>
      </w:r>
    </w:p>
    <w:p w14:paraId="3929CF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不包含：________________________________________________________________________________；</w:t>
      </w:r>
    </w:p>
    <w:p w14:paraId="742DBC5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特殊说明：________________________________________________________________________________。</w:t>
      </w:r>
    </w:p>
    <w:p w14:paraId="1192F2A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通用约束（全局生效，所有模块共用）</w:t>
      </w:r>
      <w:bookmarkEnd w:id="5"/>
    </w:p>
    <w:p w14:paraId="6BD1A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格式：标准化字段，明确全局规则，填写时替换示例内容，无需修改分点格式，无相关约束可填写“无”。</w:t>
      </w:r>
    </w:p>
    <w:p w14:paraId="6337B75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输入约束：________________________________________________________________________________；</w:t>
      </w:r>
    </w:p>
    <w:p w14:paraId="5F275EF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格式约束：________________________________________________________________________________；</w:t>
      </w:r>
    </w:p>
    <w:p w14:paraId="5A5DB43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权限约束：________________________________________________________________________________；</w:t>
      </w:r>
    </w:p>
    <w:p w14:paraId="4CE2FF1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其他约束（可选）：________________________________________________________________________________。</w:t>
      </w:r>
    </w:p>
    <w:p w14:paraId="158EC341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四、模块详细需求（必选，核心结构化部分）</w:t>
      </w:r>
      <w:bookmarkEnd w:id="6"/>
    </w:p>
    <w:p w14:paraId="4B7F7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核心要求：</w:t>
      </w:r>
      <w:r>
        <w:rPr>
          <w:rFonts w:ascii="Arial" w:hAnsi="Arial" w:eastAsia="等线" w:cs="Arial"/>
          <w:b/>
          <w:sz w:val="22"/>
        </w:rPr>
        <w:t>每个模块独立分区，一级标题为模块名称，二级标题为功能点，三级标题为功能细节（规则/约束/输入输出）</w:t>
      </w:r>
      <w:r>
        <w:rPr>
          <w:rFonts w:ascii="Arial" w:hAnsi="Arial" w:eastAsia="等线" w:cs="Arial"/>
          <w:sz w:val="22"/>
        </w:rPr>
        <w:t>，字段固定，表述规范，通义千问可直接提取对应信息生成用例。</w:t>
      </w:r>
    </w:p>
    <w:p w14:paraId="0FD918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统一格式（每个模块均按此结构填写，不可修改标题层级和字段名称；多模块可复制此结构，修改模块序号即可）：</w:t>
      </w:r>
    </w:p>
    <w:p w14:paraId="35A6858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4.1 __________模块（一级标题，如：4.1 用户模块）</w:t>
      </w:r>
      <w:bookmarkEnd w:id="7"/>
    </w:p>
    <w:p w14:paraId="63F9942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4.1.1 __________功能（二级标题，如：4.1.1 用户注册功能）</w:t>
      </w:r>
      <w:bookmarkEnd w:id="8"/>
    </w:p>
    <w:p w14:paraId="2ECEDFE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4.1.1.1 功能描述（必选）</w:t>
      </w:r>
      <w:bookmarkEnd w:id="9"/>
    </w:p>
    <w:p w14:paraId="3194B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格式：明确该功能的用途、操作路径，无冗余，填写时替换示例内容。</w:t>
      </w:r>
    </w:p>
    <w:p w14:paraId="38E61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644A94B7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4.1.1.2 输入项（必选，结构化列出，明确是否必填、格式、范围）</w:t>
      </w:r>
      <w:bookmarkEnd w:id="10"/>
    </w:p>
    <w:p w14:paraId="1A1E7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格式：采用“输入项名称 | 是否必填 | 格式要求 | 取值范围 | 备注”的固定格式，用表格呈现（Word插入表格，无需合并单元格，便于大模型识别），填写时替换表格内示例内容，无相关项可删除对应行。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6C3A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E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6D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B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3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A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962AE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4A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21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E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0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  <w:tr w14:paraId="67563E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B8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34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3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0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5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  <w:tr w14:paraId="4F5A5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B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B7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8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5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90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</w:tr>
    </w:tbl>
    <w:p w14:paraId="24B505ED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4.1.1.3 输出项（必选，明确操作后的反馈/结果）</w:t>
      </w:r>
      <w:bookmarkEnd w:id="11"/>
    </w:p>
    <w:p w14:paraId="49D83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格式：分场景列出（正常场景、异常场景），填写时替换示例内容，无需修改分点格式，可根据实际场景增减分点。</w:t>
      </w:r>
    </w:p>
    <w:p w14:paraId="698FBE9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正常场景：________________________________________________________________________________；</w:t>
      </w:r>
    </w:p>
    <w:p w14:paraId="348848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异常场景1：________________________________________________________________________________；</w:t>
      </w:r>
    </w:p>
    <w:p w14:paraId="13FA1FC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异常场景2：________________________________________________________________________________；</w:t>
      </w:r>
    </w:p>
    <w:p w14:paraId="0E7260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异常场景3（可选）：________________________________________________________________________________。</w:t>
      </w:r>
    </w:p>
    <w:p w14:paraId="50B8EE9D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4.1.1.4 边界场景（可选，补充特殊情况，提升用例完整性）</w:t>
      </w:r>
      <w:bookmarkEnd w:id="12"/>
    </w:p>
    <w:p w14:paraId="46330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格式：分点列出，明确边界条件，无相关场景可填写“无”，填写时替换示例内容，可增减分点。</w:t>
      </w:r>
    </w:p>
    <w:p w14:paraId="761FD59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6479EB5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30FB1EF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21FC0B6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4.1.1.5 特殊规则（可选，补充该功能独有的规则，非全局约束）</w:t>
      </w:r>
      <w:bookmarkEnd w:id="13"/>
    </w:p>
    <w:p w14:paraId="4713A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格式：分点列出，无相关规则可填写“无”，填写时替换示例内容，可增减分点。</w:t>
      </w:r>
    </w:p>
    <w:p w14:paraId="23EDE72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35E254F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1BDCDD31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4.1.2 __________功能（如：4.1.2 用户登录功能）</w:t>
      </w:r>
      <w:bookmarkEnd w:id="14"/>
    </w:p>
    <w:p w14:paraId="25514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（完全沿用上述4.1.1的结构：功能描述→输入项→输出项→边界场景→特殊规则，表格、分点格式不变，填写时替换对应内容即可）</w:t>
      </w:r>
    </w:p>
    <w:p w14:paraId="42BF72E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__________模块（第二个模块，结构同4.1）</w:t>
      </w:r>
      <w:bookmarkEnd w:id="15"/>
    </w:p>
    <w:p w14:paraId="7DC04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（复制4.1模块完整结构，修改模块序号和内容，无需调整格式）</w:t>
      </w:r>
    </w:p>
    <w:p w14:paraId="00A3C6C7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五、异常场景汇总（可选，补充全局异常）</w:t>
      </w:r>
      <w:bookmarkEnd w:id="16"/>
    </w:p>
    <w:p w14:paraId="33009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（汇总所有模块共有的异常场景，避免重复编写，大模型可统一提取，无相关场景可填写“无”，填写时替换示例内容，可增减分点）</w:t>
      </w:r>
    </w:p>
    <w:p w14:paraId="24EDFD1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713743C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________________________________________________________________________________；</w:t>
      </w:r>
    </w:p>
    <w:p w14:paraId="25C9EBE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________________________________________________________________________________。</w:t>
      </w:r>
    </w:p>
    <w:p w14:paraId="6673EDDC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六、附录（可选）</w:t>
      </w:r>
      <w:bookmarkEnd w:id="17"/>
    </w:p>
    <w:p w14:paraId="6CA05F1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6.1 术语说明</w:t>
      </w:r>
      <w:bookmarkEnd w:id="18"/>
    </w:p>
    <w:p w14:paraId="11193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（解释需求中出现的专业术语、缩写，避免大模型误解，无相关术语可填写“无”）</w:t>
      </w:r>
    </w:p>
    <w:p w14:paraId="529A8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1BA5811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6.2 补充说明</w:t>
      </w:r>
      <w:bookmarkEnd w:id="19"/>
    </w:p>
    <w:p w14:paraId="412BD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（补充无需生成用例的特殊情况、需求变更记录等，无相关内容可填写“无”）</w:t>
      </w:r>
    </w:p>
    <w:p w14:paraId="3F439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填写内容：________________________________________________________________________________________________________________________________________________________________</w:t>
      </w:r>
    </w:p>
    <w:p w14:paraId="757D3839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七、格式编辑规范（必选，编辑时严格遵守）</w:t>
      </w:r>
      <w:bookmarkEnd w:id="20"/>
    </w:p>
    <w:p w14:paraId="1C7078E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标题层级：严格沿用本文档的一级（1.XXX）、二级（1.1 XXX）、三级（1.1.1 XXX）、四级（1.1.1.1 XXX）标题，不可新增层级或修改层级名称；</w:t>
      </w:r>
    </w:p>
    <w:p w14:paraId="1E40D6D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文本格式：所有正文采用宋体、小四字体，行间距1.5倍，段落对齐方式：标题居中，正文左对齐；</w:t>
      </w:r>
    </w:p>
    <w:p w14:paraId="3C59519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表格规范：输入项/输出项等需结构化呈现的内容，必须用表格，表格无合并单元格、无边框装饰（默认无边框即可），字段名称不可修改；</w:t>
      </w:r>
    </w:p>
    <w:p w14:paraId="3980FAE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冗余控制：每个模块、每个功能点的描述，仅保留核心信息，避免口语化、冗余化表述（如避免“这个功能主要是用来...”，直接用“功能用途：XXX”）；</w:t>
      </w:r>
    </w:p>
    <w:p w14:paraId="00771D3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一致性：同一术语、同一格式在全文中保持一致（如“必填”不可写为“必须填写”，“手机号”不可写为“电话”）；</w:t>
      </w:r>
    </w:p>
    <w:p w14:paraId="63F8EE8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避免插入：文档中不可插入图片、截图、图表、公式等，仅保留文本和表格，避免干扰通义千问提取需求。</w:t>
      </w:r>
    </w:p>
    <w:p w14:paraId="53BA2C7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八、适配通义千问API的补充说明</w:t>
      </w:r>
      <w:bookmarkEnd w:id="21"/>
    </w:p>
    <w:p w14:paraId="375CC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按此格式编写的docx需求文档，可直接用于之前的Python代码（替换DOCX_PATH路径），无需修改Prompt，通义千问可精准提取“模块-功能-输入-输出-规则”，生成符合规范的测试用例；</w:t>
      </w:r>
    </w:p>
    <w:p w14:paraId="145060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若需求变更，仅修改对应模块的“功能描述/输入项/输出项”等内容，保持格式不变，确保API调用时，大模型能快速识别变更后的需求；</w:t>
      </w:r>
    </w:p>
    <w:p w14:paraId="47F44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建议每个功能点独立成节，避免多个功能点合并编写，减少大模型提取信息时的混淆。</w:t>
      </w:r>
    </w:p>
    <w:p w14:paraId="18024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CF9E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407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3F0A"/>
    <w:multiLevelType w:val="singleLevel"/>
    <w:tmpl w:val="9FFF3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3FF0AC9"/>
    <w:multiLevelType w:val="singleLevel"/>
    <w:tmpl w:val="B3FF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ED806B"/>
    <w:multiLevelType w:val="singleLevel"/>
    <w:tmpl w:val="B7ED80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2DE9C62"/>
    <w:multiLevelType w:val="singleLevel"/>
    <w:tmpl w:val="D2DE9C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EA8575"/>
    <w:multiLevelType w:val="singleLevel"/>
    <w:tmpl w:val="D7EA85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B7F8078"/>
    <w:multiLevelType w:val="singleLevel"/>
    <w:tmpl w:val="DB7F8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BFCD861"/>
    <w:multiLevelType w:val="singleLevel"/>
    <w:tmpl w:val="DBFCD8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DFE5B92"/>
    <w:multiLevelType w:val="singleLevel"/>
    <w:tmpl w:val="DDFE5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E7EFB0F"/>
    <w:multiLevelType w:val="singleLevel"/>
    <w:tmpl w:val="DE7EFB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3FFC0F5"/>
    <w:multiLevelType w:val="singleLevel"/>
    <w:tmpl w:val="E3FFC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8F70D17"/>
    <w:multiLevelType w:val="singleLevel"/>
    <w:tmpl w:val="E8F70D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EF77ACB"/>
    <w:multiLevelType w:val="singleLevel"/>
    <w:tmpl w:val="EEF77A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1B7D2B4"/>
    <w:multiLevelType w:val="singleLevel"/>
    <w:tmpl w:val="F1B7D2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6BF4CB1"/>
    <w:multiLevelType w:val="singleLevel"/>
    <w:tmpl w:val="F6BF4C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9DE9318"/>
    <w:multiLevelType w:val="singleLevel"/>
    <w:tmpl w:val="F9DE9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CF4B05"/>
    <w:multiLevelType w:val="singleLevel"/>
    <w:tmpl w:val="FFCF4B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E7269A"/>
    <w:multiLevelType w:val="singleLevel"/>
    <w:tmpl w:val="FFE726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F60520"/>
    <w:multiLevelType w:val="singleLevel"/>
    <w:tmpl w:val="FFF605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A3C04"/>
    <w:multiLevelType w:val="singleLevel"/>
    <w:tmpl w:val="FFFA3C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FFF1B6D"/>
    <w:multiLevelType w:val="singleLevel"/>
    <w:tmpl w:val="FFFF1B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37E1867"/>
    <w:multiLevelType w:val="singleLevel"/>
    <w:tmpl w:val="637E18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7CEF14C"/>
    <w:multiLevelType w:val="singleLevel"/>
    <w:tmpl w:val="77CEF1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7CFD3B8"/>
    <w:multiLevelType w:val="singleLevel"/>
    <w:tmpl w:val="77CFD3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FCEE1B8"/>
    <w:multiLevelType w:val="singleLevel"/>
    <w:tmpl w:val="7FCEE1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FF6E4A6"/>
    <w:multiLevelType w:val="singleLevel"/>
    <w:tmpl w:val="7FF6E4A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10"/>
  </w:num>
  <w:num w:numId="5">
    <w:abstractNumId w:val="12"/>
  </w:num>
  <w:num w:numId="6">
    <w:abstractNumId w:val="9"/>
  </w:num>
  <w:num w:numId="7">
    <w:abstractNumId w:val="3"/>
  </w:num>
  <w:num w:numId="8">
    <w:abstractNumId w:val="14"/>
  </w:num>
  <w:num w:numId="9">
    <w:abstractNumId w:val="5"/>
  </w:num>
  <w:num w:numId="10">
    <w:abstractNumId w:val="11"/>
  </w:num>
  <w:num w:numId="11">
    <w:abstractNumId w:val="1"/>
  </w:num>
  <w:num w:numId="12">
    <w:abstractNumId w:val="16"/>
  </w:num>
  <w:num w:numId="13">
    <w:abstractNumId w:val="18"/>
  </w:num>
  <w:num w:numId="14">
    <w:abstractNumId w:val="7"/>
  </w:num>
  <w:num w:numId="15">
    <w:abstractNumId w:val="13"/>
  </w:num>
  <w:num w:numId="16">
    <w:abstractNumId w:val="22"/>
  </w:num>
  <w:num w:numId="17">
    <w:abstractNumId w:val="8"/>
  </w:num>
  <w:num w:numId="18">
    <w:abstractNumId w:val="15"/>
  </w:num>
  <w:num w:numId="19">
    <w:abstractNumId w:val="6"/>
  </w:num>
  <w:num w:numId="20">
    <w:abstractNumId w:val="23"/>
  </w:num>
  <w:num w:numId="21">
    <w:abstractNumId w:val="0"/>
  </w:num>
  <w:num w:numId="22">
    <w:abstractNumId w:val="21"/>
  </w:num>
  <w:num w:numId="23">
    <w:abstractNumId w:val="20"/>
  </w:num>
  <w:num w:numId="24">
    <w:abstractNumId w:val="2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FFACFD"/>
    <w:rsid w:val="6EBDFE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2026-02-20T10:14:00Z</dcterms:created>
  <dc:creator>Apache POI</dc:creator>
  <cp:lastModifiedBy>linghuchong</cp:lastModifiedBy>
  <dcterms:modified xsi:type="dcterms:W3CDTF">2026-02-20T17:26:22Z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7F7E541204A402515D28986923664951_42</vt:lpwstr>
  </property>
</Properties>
</file>