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C455E">
      <w:pPr>
        <w:pStyle w:val="169"/>
      </w:pPr>
      <w:r>
        <w:t>【专病库】需求规格说明书</w:t>
      </w:r>
    </w:p>
    <w:p w14:paraId="2412CA90">
      <w:pPr>
        <w:pStyle w:val="170"/>
      </w:pPr>
      <w:r>
        <w:t>适配通义千问API，结构化需求提取</w:t>
      </w:r>
    </w:p>
    <w:p w14:paraId="0CBBAF44">
      <w:pPr>
        <w:pStyle w:val="168"/>
      </w:pPr>
      <w:r>
        <w:t>版本号：V1.0 | 编制人：金浩 | 编制日期：2026-2-20</w:t>
      </w:r>
    </w:p>
    <w:p w14:paraId="4FFE9DB3">
      <w:r>
        <w:br w:type="page"/>
      </w:r>
    </w:p>
    <w:p w14:paraId="046A840F">
      <w:pPr>
        <w:pStyle w:val="164"/>
        <w:jc w:val="left"/>
      </w:pPr>
      <w:r>
        <w:t>二、文档目录（必选，自动生成）</w:t>
      </w:r>
    </w:p>
    <w:p w14:paraId="452BFA61">
      <w:pPr>
        <w:pStyle w:val="168"/>
      </w:pPr>
      <w:r>
        <w:t>操作方式：Word中“引用”→“目录”→“自动目录1”，确保所有一级/二级/三级标题自动收录，便于大模型定位各模块需求，避免遗漏。</w:t>
      </w:r>
    </w:p>
    <w:p w14:paraId="52982107">
      <w:r>
        <w:br w:type="page"/>
      </w:r>
    </w:p>
    <w:p w14:paraId="59FA6400">
      <w:pPr>
        <w:pStyle w:val="164"/>
      </w:pPr>
      <w:r>
        <w:t>三、核心需求总览（必选，全局说明）</w:t>
      </w:r>
    </w:p>
    <w:p w14:paraId="2A588EB6">
      <w:pPr>
        <w:pStyle w:val="165"/>
      </w:pPr>
      <w:r>
        <w:t>3.1 项目核心目标</w:t>
      </w:r>
    </w:p>
    <w:p w14:paraId="5B083717">
      <w:r>
        <w:t>本项目为医疗专病库管理系统，核心实现专病信息录入、查询、编辑、删除、分类管理功能，保障专病数据的准确性、完整性和操作便捷性，本次测试覆盖所有核心功能模块。</w:t>
      </w:r>
    </w:p>
    <w:p w14:paraId="1E4D7486">
      <w:pPr>
        <w:pStyle w:val="165"/>
      </w:pPr>
      <w:r>
        <w:t>3.2 测试范围说明（明确大模型生成用例的边界）</w:t>
      </w:r>
    </w:p>
    <w:p w14:paraId="4F4FA438">
      <w:pPr>
        <w:pStyle w:val="168"/>
      </w:pPr>
      <w:r>
        <w:t>• 包含：所有核心功能模块（专病信息模块、分类管理模块、数据查询模块）的功能测试用例；</w:t>
      </w:r>
    </w:p>
    <w:p w14:paraId="6B63FEE7">
      <w:pPr>
        <w:pStyle w:val="168"/>
      </w:pPr>
      <w:r>
        <w:t>• 不包含：性能测试、安全测试、兼容性测试、接口测试相关用例；</w:t>
      </w:r>
    </w:p>
    <w:p w14:paraId="193FE784">
      <w:pPr>
        <w:pStyle w:val="168"/>
      </w:pPr>
      <w:r>
        <w:t>• 特殊说明：仅覆盖正常操作、异常输入、边界值场景，不包含极端异常场景（如服务器宕机、数据库崩溃）。</w:t>
      </w:r>
    </w:p>
    <w:p w14:paraId="350F6107">
      <w:pPr>
        <w:pStyle w:val="165"/>
      </w:pPr>
      <w:r>
        <w:t>3.3 通用约束（全局生效，所有模块共用）</w:t>
      </w:r>
    </w:p>
    <w:p w14:paraId="72CE0F1C">
      <w:pPr>
        <w:pStyle w:val="168"/>
      </w:pPr>
      <w:r>
        <w:t>• 输入约束：所有必填项为空时，无法提交操作，提示“请填写必填项”；</w:t>
      </w:r>
    </w:p>
    <w:p w14:paraId="22A5A8AB">
      <w:pPr>
        <w:pStyle w:val="168"/>
      </w:pPr>
      <w:r>
        <w:t>• 格式约束：日期格式统一为“XXXX-XX-XX”，编码为6位字母+数字组合，数值保留2位小数；</w:t>
      </w:r>
    </w:p>
    <w:p w14:paraId="5900DD6F">
      <w:pPr>
        <w:pStyle w:val="168"/>
      </w:pPr>
      <w:r>
        <w:t>• 权限约束：未登录用户仅可访问专病库公开查询页面，无法进行录入、编辑、删除操作；</w:t>
      </w:r>
    </w:p>
    <w:p w14:paraId="575982D5">
      <w:pPr>
        <w:pStyle w:val="168"/>
      </w:pPr>
      <w:r>
        <w:t>• 数据约束：所有提交的专病数据需经过格式校验，校验不通过则无法保存至数据库。</w:t>
      </w:r>
    </w:p>
    <w:p w14:paraId="7996010F">
      <w:pPr>
        <w:pStyle w:val="164"/>
      </w:pPr>
      <w:r>
        <w:t>四、模块详细需求（必选，核心结构化部分）</w:t>
      </w:r>
    </w:p>
    <w:p w14:paraId="41909930">
      <w:pPr>
        <w:pStyle w:val="168"/>
      </w:pPr>
      <w:r>
        <w:t>核心要求：每个模块独立分区，一级标题为模块名称，二级标题为功能点，三级标题为功能细节（规则/约束/输入输出），字段固定，表述规范，通义千问可直接提取对应信息生成用例。</w:t>
      </w:r>
    </w:p>
    <w:p w14:paraId="045C4919">
      <w:pPr>
        <w:pStyle w:val="168"/>
      </w:pPr>
      <w:r>
        <w:t>统一格式（每个模块均按此结构填写，不可修改标题层级和字段名称）：</w:t>
      </w:r>
    </w:p>
    <w:p w14:paraId="678C340A">
      <w:pPr>
        <w:pStyle w:val="165"/>
      </w:pPr>
      <w:r>
        <w:t>4.1 专病信息模块</w:t>
      </w:r>
    </w:p>
    <w:p w14:paraId="757D6F45">
      <w:pPr>
        <w:pStyle w:val="166"/>
      </w:pPr>
      <w:r>
        <w:t>4.1.1 专病信息录入功能</w:t>
      </w:r>
    </w:p>
    <w:p w14:paraId="43BBEFC6">
      <w:pPr>
        <w:pStyle w:val="167"/>
      </w:pPr>
      <w:r>
        <w:t>4.1.1.1 功能描述（必选）</w:t>
      </w:r>
    </w:p>
    <w:p w14:paraId="7767CCAE">
      <w:r>
        <w:t>用户登录系统后，通过左侧导航栏“专病管理”→“新增专病”进入录入页面，填写专病编码、名称、所属科室、发病机制、诊疗方案等信息，点击“提交保存”完成录入，录入成功后自动跳转至专病信息列表页面。</w:t>
      </w:r>
    </w:p>
    <w:p w14:paraId="6D01ED8E">
      <w:pPr>
        <w:pStyle w:val="167"/>
      </w:pPr>
      <w:r>
        <w:t>4.1.1.2 输入项（必选，结构化列出，明确是否必填、格式、范围）</w:t>
      </w:r>
    </w:p>
    <w:p w14:paraId="4453DC2C">
      <w:pPr>
        <w:pStyle w:val="168"/>
      </w:pPr>
      <w:r>
        <w:t>采用“输入项名称 | 是否必填 | 格式要求 | 取值范围 | 备注”的固定格式，表格如下：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71DFA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3" w:type="dxa"/>
          </w:tcPr>
          <w:p w14:paraId="1B2B31E3">
            <w:pPr>
              <w:spacing w:after="0"/>
            </w:pPr>
            <w:r>
              <w:t>输入项名称</w:t>
            </w:r>
          </w:p>
        </w:tc>
        <w:tc>
          <w:tcPr>
            <w:tcW w:w="1813" w:type="dxa"/>
          </w:tcPr>
          <w:p w14:paraId="79F00242">
            <w:pPr>
              <w:spacing w:after="0"/>
            </w:pPr>
            <w:r>
              <w:t>是否必填</w:t>
            </w:r>
          </w:p>
        </w:tc>
        <w:tc>
          <w:tcPr>
            <w:tcW w:w="1813" w:type="dxa"/>
          </w:tcPr>
          <w:p w14:paraId="557E0C79">
            <w:pPr>
              <w:spacing w:after="0"/>
            </w:pPr>
            <w:r>
              <w:t>格式要求</w:t>
            </w:r>
          </w:p>
        </w:tc>
        <w:tc>
          <w:tcPr>
            <w:tcW w:w="1813" w:type="dxa"/>
          </w:tcPr>
          <w:p w14:paraId="34CF7886">
            <w:pPr>
              <w:spacing w:after="0"/>
            </w:pPr>
            <w:r>
              <w:t>取值范围</w:t>
            </w:r>
          </w:p>
        </w:tc>
        <w:tc>
          <w:tcPr>
            <w:tcW w:w="1813" w:type="dxa"/>
          </w:tcPr>
          <w:p w14:paraId="287EB43B">
            <w:pPr>
              <w:spacing w:after="0"/>
            </w:pPr>
            <w:r>
              <w:t>备注</w:t>
            </w:r>
          </w:p>
        </w:tc>
      </w:tr>
      <w:tr w14:paraId="50F97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3" w:type="dxa"/>
          </w:tcPr>
          <w:p w14:paraId="2B6E6D09">
            <w:pPr>
              <w:spacing w:after="0"/>
            </w:pPr>
            <w:r>
              <w:t>专病编码</w:t>
            </w:r>
          </w:p>
        </w:tc>
        <w:tc>
          <w:tcPr>
            <w:tcW w:w="1813" w:type="dxa"/>
          </w:tcPr>
          <w:p w14:paraId="23ED028F">
            <w:pPr>
              <w:spacing w:after="0"/>
            </w:pPr>
            <w:r>
              <w:t>是</w:t>
            </w:r>
          </w:p>
        </w:tc>
        <w:tc>
          <w:tcPr>
            <w:tcW w:w="1813" w:type="dxa"/>
          </w:tcPr>
          <w:p w14:paraId="774B5AA8">
            <w:pPr>
              <w:spacing w:after="0"/>
            </w:pPr>
            <w:r>
              <w:t>字母+数字组合，无特殊字符</w:t>
            </w:r>
          </w:p>
        </w:tc>
        <w:tc>
          <w:tcPr>
            <w:tcW w:w="1813" w:type="dxa"/>
          </w:tcPr>
          <w:p w14:paraId="50B2AF36">
            <w:pPr>
              <w:spacing w:after="0"/>
            </w:pPr>
            <w:r>
              <w:t>6个字符</w:t>
            </w:r>
          </w:p>
        </w:tc>
        <w:tc>
          <w:tcPr>
            <w:tcW w:w="1813" w:type="dxa"/>
          </w:tcPr>
          <w:p w14:paraId="7DBF7574">
            <w:pPr>
              <w:spacing w:after="0"/>
            </w:pPr>
            <w:r>
              <w:t>系统唯一，不可重复</w:t>
            </w:r>
          </w:p>
        </w:tc>
      </w:tr>
      <w:tr w14:paraId="530F4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3" w:type="dxa"/>
          </w:tcPr>
          <w:p w14:paraId="01FAF95F">
            <w:pPr>
              <w:spacing w:after="0"/>
            </w:pPr>
            <w:r>
              <w:t>专病名称</w:t>
            </w:r>
          </w:p>
        </w:tc>
        <w:tc>
          <w:tcPr>
            <w:tcW w:w="1813" w:type="dxa"/>
          </w:tcPr>
          <w:p w14:paraId="5EC89CCE">
            <w:pPr>
              <w:spacing w:after="0"/>
            </w:pPr>
            <w:r>
              <w:t>是</w:t>
            </w:r>
          </w:p>
        </w:tc>
        <w:tc>
          <w:tcPr>
            <w:tcW w:w="1813" w:type="dxa"/>
          </w:tcPr>
          <w:p w14:paraId="155F9E89">
            <w:pPr>
              <w:spacing w:after="0"/>
            </w:pPr>
            <w:r>
              <w:t>中文+英文，可含顿号/括号</w:t>
            </w:r>
          </w:p>
        </w:tc>
        <w:tc>
          <w:tcPr>
            <w:tcW w:w="1813" w:type="dxa"/>
          </w:tcPr>
          <w:p w14:paraId="1BB7BE9C">
            <w:pPr>
              <w:spacing w:after="0"/>
            </w:pPr>
            <w:r>
              <w:t>2-50个字符</w:t>
            </w:r>
          </w:p>
        </w:tc>
        <w:tc>
          <w:tcPr>
            <w:tcW w:w="1813" w:type="dxa"/>
          </w:tcPr>
          <w:p w14:paraId="45DB7C3A">
            <w:pPr>
              <w:spacing w:after="0"/>
            </w:pPr>
            <w:r>
              <w:t>不可重复，需与临床标准一致</w:t>
            </w:r>
          </w:p>
        </w:tc>
      </w:tr>
      <w:tr w14:paraId="47D55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3" w:type="dxa"/>
          </w:tcPr>
          <w:p w14:paraId="069CD08C">
            <w:pPr>
              <w:spacing w:after="0"/>
            </w:pPr>
            <w:r>
              <w:t>所属科室</w:t>
            </w:r>
          </w:p>
        </w:tc>
        <w:tc>
          <w:tcPr>
            <w:tcW w:w="1813" w:type="dxa"/>
          </w:tcPr>
          <w:p w14:paraId="66BBFC9C">
            <w:pPr>
              <w:spacing w:after="0"/>
            </w:pPr>
            <w:r>
              <w:t>是</w:t>
            </w:r>
          </w:p>
        </w:tc>
        <w:tc>
          <w:tcPr>
            <w:tcW w:w="1813" w:type="dxa"/>
          </w:tcPr>
          <w:p w14:paraId="529B045B">
            <w:pPr>
              <w:spacing w:after="0"/>
            </w:pPr>
            <w:r>
              <w:t>纯中文</w:t>
            </w:r>
          </w:p>
        </w:tc>
        <w:tc>
          <w:tcPr>
            <w:tcW w:w="1813" w:type="dxa"/>
          </w:tcPr>
          <w:p w14:paraId="678E15A3">
            <w:pPr>
              <w:spacing w:after="0"/>
            </w:pPr>
            <w:r>
              <w:t>2-20个字符</w:t>
            </w:r>
          </w:p>
        </w:tc>
        <w:tc>
          <w:tcPr>
            <w:tcW w:w="1813" w:type="dxa"/>
          </w:tcPr>
          <w:p w14:paraId="14E08D1C">
            <w:pPr>
              <w:spacing w:after="0"/>
            </w:pPr>
            <w:r>
              <w:t>下拉框选择，不可手动输入</w:t>
            </w:r>
          </w:p>
        </w:tc>
      </w:tr>
      <w:tr w14:paraId="2EC3B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3" w:type="dxa"/>
          </w:tcPr>
          <w:p w14:paraId="2E41596E">
            <w:pPr>
              <w:spacing w:after="0"/>
            </w:pPr>
            <w:r>
              <w:t>发病机制</w:t>
            </w:r>
          </w:p>
        </w:tc>
        <w:tc>
          <w:tcPr>
            <w:tcW w:w="1813" w:type="dxa"/>
          </w:tcPr>
          <w:p w14:paraId="2F390C93">
            <w:pPr>
              <w:spacing w:after="0"/>
            </w:pPr>
            <w:r>
              <w:t>否</w:t>
            </w:r>
          </w:p>
        </w:tc>
        <w:tc>
          <w:tcPr>
            <w:tcW w:w="1813" w:type="dxa"/>
          </w:tcPr>
          <w:p w14:paraId="5F273E94">
            <w:pPr>
              <w:spacing w:after="0"/>
            </w:pPr>
            <w:r>
              <w:t>纯中文，可含标点</w:t>
            </w:r>
          </w:p>
        </w:tc>
        <w:tc>
          <w:tcPr>
            <w:tcW w:w="1813" w:type="dxa"/>
          </w:tcPr>
          <w:p w14:paraId="074F4DCC">
            <w:pPr>
              <w:spacing w:after="0"/>
            </w:pPr>
            <w:r>
              <w:t>0-500个字符</w:t>
            </w:r>
          </w:p>
        </w:tc>
        <w:tc>
          <w:tcPr>
            <w:tcW w:w="1813" w:type="dxa"/>
          </w:tcPr>
          <w:p w14:paraId="02BC8D11">
            <w:pPr>
              <w:spacing w:after="0"/>
            </w:pPr>
            <w:r>
              <w:t>简述核心发病原因</w:t>
            </w:r>
          </w:p>
        </w:tc>
      </w:tr>
      <w:tr w14:paraId="119B7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3" w:type="dxa"/>
          </w:tcPr>
          <w:p w14:paraId="24A3C814">
            <w:pPr>
              <w:spacing w:after="0"/>
            </w:pPr>
            <w:r>
              <w:t>诊疗方案</w:t>
            </w:r>
          </w:p>
        </w:tc>
        <w:tc>
          <w:tcPr>
            <w:tcW w:w="1813" w:type="dxa"/>
          </w:tcPr>
          <w:p w14:paraId="538F4CF5">
            <w:pPr>
              <w:spacing w:after="0"/>
            </w:pPr>
            <w:r>
              <w:t>是</w:t>
            </w:r>
          </w:p>
        </w:tc>
        <w:tc>
          <w:tcPr>
            <w:tcW w:w="1813" w:type="dxa"/>
          </w:tcPr>
          <w:p w14:paraId="74F89019">
            <w:pPr>
              <w:spacing w:after="0"/>
            </w:pPr>
            <w:r>
              <w:t>中文+数字+标点</w:t>
            </w:r>
          </w:p>
        </w:tc>
        <w:tc>
          <w:tcPr>
            <w:tcW w:w="1813" w:type="dxa"/>
          </w:tcPr>
          <w:p w14:paraId="6BD1D90B">
            <w:pPr>
              <w:spacing w:after="0"/>
            </w:pPr>
            <w:r>
              <w:t>50-2000个字符</w:t>
            </w:r>
          </w:p>
        </w:tc>
        <w:tc>
          <w:tcPr>
            <w:tcW w:w="1813" w:type="dxa"/>
          </w:tcPr>
          <w:p w14:paraId="4B923A9F">
            <w:pPr>
              <w:spacing w:after="0"/>
            </w:pPr>
            <w:r>
              <w:t>需包含基础治疗、药物治疗</w:t>
            </w:r>
          </w:p>
        </w:tc>
      </w:tr>
      <w:tr w14:paraId="4B123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3" w:type="dxa"/>
          </w:tcPr>
          <w:p w14:paraId="56206510">
            <w:pPr>
              <w:spacing w:after="0"/>
            </w:pPr>
            <w:r>
              <w:t>发病率</w:t>
            </w:r>
          </w:p>
        </w:tc>
        <w:tc>
          <w:tcPr>
            <w:tcW w:w="1813" w:type="dxa"/>
          </w:tcPr>
          <w:p w14:paraId="704E431A">
            <w:pPr>
              <w:spacing w:after="0"/>
            </w:pPr>
            <w:r>
              <w:t>否</w:t>
            </w:r>
          </w:p>
        </w:tc>
        <w:tc>
          <w:tcPr>
            <w:tcW w:w="1813" w:type="dxa"/>
          </w:tcPr>
          <w:p w14:paraId="3E1D220E">
            <w:pPr>
              <w:spacing w:after="0"/>
            </w:pPr>
            <w:r>
              <w:t>数字+百分号</w:t>
            </w:r>
          </w:p>
        </w:tc>
        <w:tc>
          <w:tcPr>
            <w:tcW w:w="1813" w:type="dxa"/>
          </w:tcPr>
          <w:p w14:paraId="5A6B8C35">
            <w:pPr>
              <w:spacing w:after="0"/>
            </w:pPr>
            <w:r>
              <w:t>0.00%-100.00%</w:t>
            </w:r>
          </w:p>
        </w:tc>
        <w:tc>
          <w:tcPr>
            <w:tcW w:w="1813" w:type="dxa"/>
          </w:tcPr>
          <w:p w14:paraId="772FFEE5">
            <w:pPr>
              <w:spacing w:after="0"/>
            </w:pPr>
            <w:r>
              <w:t>保留2位小数</w:t>
            </w:r>
          </w:p>
        </w:tc>
      </w:tr>
      <w:tr w14:paraId="78517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3" w:type="dxa"/>
          </w:tcPr>
          <w:p w14:paraId="02A7C9C8">
            <w:pPr>
              <w:spacing w:after="0"/>
            </w:pPr>
            <w:r>
              <w:t>录入日期</w:t>
            </w:r>
          </w:p>
        </w:tc>
        <w:tc>
          <w:tcPr>
            <w:tcW w:w="1813" w:type="dxa"/>
          </w:tcPr>
          <w:p w14:paraId="244809CF">
            <w:pPr>
              <w:spacing w:after="0"/>
            </w:pPr>
            <w:r>
              <w:t>是</w:t>
            </w:r>
          </w:p>
        </w:tc>
        <w:tc>
          <w:tcPr>
            <w:tcW w:w="1813" w:type="dxa"/>
          </w:tcPr>
          <w:p w14:paraId="13ABBAD3">
            <w:pPr>
              <w:spacing w:after="0"/>
            </w:pPr>
            <w:r>
              <w:t>日期格式</w:t>
            </w:r>
          </w:p>
        </w:tc>
        <w:tc>
          <w:tcPr>
            <w:tcW w:w="1813" w:type="dxa"/>
          </w:tcPr>
          <w:p w14:paraId="67F311DB">
            <w:pPr>
              <w:spacing w:after="0"/>
            </w:pPr>
            <w:r>
              <w:t>XXXX-XX-XX</w:t>
            </w:r>
          </w:p>
        </w:tc>
        <w:tc>
          <w:tcPr>
            <w:tcW w:w="1813" w:type="dxa"/>
          </w:tcPr>
          <w:p w14:paraId="6F8306A9">
            <w:pPr>
              <w:spacing w:after="0"/>
            </w:pPr>
            <w:r>
              <w:t>默认当前日期，可手动修改</w:t>
            </w:r>
          </w:p>
        </w:tc>
      </w:tr>
    </w:tbl>
    <w:p w14:paraId="36D21935">
      <w:pPr>
        <w:pStyle w:val="168"/>
      </w:pPr>
    </w:p>
    <w:p w14:paraId="155678E7">
      <w:pPr>
        <w:pStyle w:val="167"/>
      </w:pPr>
      <w:r>
        <w:t>4.1.1.3 输出项（必选，明确操作后的反馈/结果）</w:t>
      </w:r>
    </w:p>
    <w:p w14:paraId="022CA4E1">
      <w:pPr>
        <w:pStyle w:val="168"/>
      </w:pPr>
      <w:r>
        <w:t>• 正常场景：所有输入项符合要求，点击保存后提示“专病信息录入成功”，自动跳转至专病信息列表，数据库新增该专病完整数据；</w:t>
      </w:r>
    </w:p>
    <w:p w14:paraId="37A65887">
      <w:pPr>
        <w:pStyle w:val="168"/>
      </w:pPr>
      <w:r>
        <w:t>• 异常场景1：专病编码重复，提交后提示“该专病编码已存在，请更换”，不跳转，不新增数据；</w:t>
      </w:r>
    </w:p>
    <w:p w14:paraId="048C2A39">
      <w:pPr>
        <w:pStyle w:val="168"/>
      </w:pPr>
      <w:r>
        <w:t>• 异常场景2：专病名称重复，提交后提示“该专病名称已录入，请勿重复添加”；</w:t>
      </w:r>
    </w:p>
    <w:p w14:paraId="3A41B63E">
      <w:pPr>
        <w:pStyle w:val="168"/>
      </w:pPr>
      <w:r>
        <w:t>• 异常场景3：诊疗方案字符数不足50，提示“诊疗方案需至少填写50个字符，请补充”；</w:t>
      </w:r>
    </w:p>
    <w:p w14:paraId="56B01E00">
      <w:pPr>
        <w:pStyle w:val="168"/>
      </w:pPr>
      <w:r>
        <w:t>• 异常场景4：日期格式错误，提示“请输入正确的日期格式（XXXX-XX-XX）”。</w:t>
      </w:r>
    </w:p>
    <w:p w14:paraId="6FCD8F33">
      <w:pPr>
        <w:pStyle w:val="167"/>
      </w:pPr>
      <w:r>
        <w:t>4.1.1.4 边界场景（可选，补充特殊情况，提升用例完整性）</w:t>
      </w:r>
    </w:p>
    <w:p w14:paraId="52D24F98">
      <w:pPr>
        <w:pStyle w:val="168"/>
      </w:pPr>
      <w:r>
        <w:t>• 专病编码取最小值6个字符（如：YB0001），可正常录入；</w:t>
      </w:r>
    </w:p>
    <w:p w14:paraId="7F208A3B">
      <w:pPr>
        <w:pStyle w:val="168"/>
      </w:pPr>
      <w:r>
        <w:t>• 专病名称取最大值50个字符，可正常录入；</w:t>
      </w:r>
    </w:p>
    <w:p w14:paraId="1F489E1A">
      <w:pPr>
        <w:pStyle w:val="168"/>
      </w:pPr>
      <w:r>
        <w:t>• 诊疗方案取最小值50个字符、最大值2000个字符，均可正常保存；</w:t>
      </w:r>
    </w:p>
    <w:p w14:paraId="253320AB">
      <w:pPr>
        <w:pStyle w:val="168"/>
      </w:pPr>
      <w:r>
        <w:t>• 发病率取边界值0.00%、100.00%，格式校验通过可保存。</w:t>
      </w:r>
    </w:p>
    <w:p w14:paraId="144E8761">
      <w:pPr>
        <w:pStyle w:val="167"/>
      </w:pPr>
      <w:r>
        <w:t>4.1.1.5 特殊规则（可选，补充该功能独有的规则，非全局约束）</w:t>
      </w:r>
    </w:p>
    <w:p w14:paraId="47D01285">
      <w:pPr>
        <w:pStyle w:val="168"/>
      </w:pPr>
      <w:r>
        <w:t>• 同一用户10分钟内最多可录入5条专病信息，超过5条提示“操作过于频繁，请10分钟后再试”；</w:t>
      </w:r>
    </w:p>
    <w:p w14:paraId="1546CD90">
      <w:pPr>
        <w:pStyle w:val="168"/>
      </w:pPr>
      <w:r>
        <w:t>• 专病信息录入成功后，系统自动发送录入提醒至科室管理员邮箱；</w:t>
      </w:r>
    </w:p>
    <w:p w14:paraId="6AA70EFA">
      <w:pPr>
        <w:pStyle w:val="168"/>
      </w:pPr>
      <w:r>
        <w:t>• 录入的专病信息需经过管理员审核后，才可在公开查询页面展示。</w:t>
      </w:r>
    </w:p>
    <w:p w14:paraId="0D9978A5">
      <w:pPr>
        <w:pStyle w:val="166"/>
      </w:pPr>
      <w:r>
        <w:t>4.1.2 专病信息编辑功能</w:t>
      </w:r>
    </w:p>
    <w:p w14:paraId="5AE53444">
      <w:pPr>
        <w:pStyle w:val="167"/>
      </w:pPr>
      <w:r>
        <w:t>4.1.2.1 功能描述（必选）</w:t>
      </w:r>
    </w:p>
    <w:p w14:paraId="6FABB2D8">
      <w:r>
        <w:t>用户登录系统后，在专病信息列表页面选择需编辑的专病，点击“编辑”按钮进入编辑页面，可修改除专病编码外的所有信息，点击“保存修改”完成操作，修改成功后返回列表页面并刷新数据。</w:t>
      </w:r>
    </w:p>
    <w:p w14:paraId="100F5696">
      <w:pPr>
        <w:pStyle w:val="167"/>
      </w:pPr>
      <w:r>
        <w:t>4.1.2.2 输入项（必选，结构化列出，明确是否必填、格式、范围）</w:t>
      </w:r>
    </w:p>
    <w:p w14:paraId="6F83C3B2">
      <w:pPr>
        <w:pStyle w:val="168"/>
      </w:pPr>
      <w:r>
        <w:t>输入项格式与“4.1.1.2 输入项”一致，仅专病编码为不可编辑状态，其余项规则相同。</w:t>
      </w:r>
    </w:p>
    <w:p w14:paraId="58519781">
      <w:pPr>
        <w:pStyle w:val="167"/>
      </w:pPr>
      <w:r>
        <w:t>4.1.2.3 输出项（必选，明确操作后的反馈/结果）</w:t>
      </w:r>
    </w:p>
    <w:p w14:paraId="30AB1CDA">
      <w:pPr>
        <w:pStyle w:val="168"/>
      </w:pPr>
      <w:r>
        <w:t>• 正常场景：修改内容符合规则，点击保存后提示“专病信息修改成功”，列表页面刷新为最新数据，数据库同步更新；</w:t>
      </w:r>
    </w:p>
    <w:p w14:paraId="5BF0643B">
      <w:pPr>
        <w:pStyle w:val="168"/>
      </w:pPr>
      <w:r>
        <w:t>• 异常场景1：修改后专病名称与其他数据重复，提示“该专病名称已存在，修改失败”；</w:t>
      </w:r>
    </w:p>
    <w:p w14:paraId="7CD8295B">
      <w:pPr>
        <w:pStyle w:val="168"/>
      </w:pPr>
      <w:r>
        <w:t>• 异常场景2：未修改任何内容直接点击保存，提示“未检测到修改内容，无需保存”。</w:t>
      </w:r>
    </w:p>
    <w:p w14:paraId="14B08FC3">
      <w:pPr>
        <w:pStyle w:val="167"/>
      </w:pPr>
      <w:r>
        <w:t>4.1.2.4 边界场景（可选）</w:t>
      </w:r>
    </w:p>
    <w:p w14:paraId="0C7CC9D1">
      <w:pPr>
        <w:pStyle w:val="168"/>
      </w:pPr>
      <w:r>
        <w:t>• 将原最短专病名称修改为最大值50个字符，可正常保存；</w:t>
      </w:r>
    </w:p>
    <w:p w14:paraId="7864A8A5">
      <w:pPr>
        <w:pStyle w:val="168"/>
      </w:pPr>
      <w:r>
        <w:t>• 将诊疗方案从50个字符修改为2000个字符，格式校验通过可保存。</w:t>
      </w:r>
    </w:p>
    <w:p w14:paraId="442F4375">
      <w:pPr>
        <w:pStyle w:val="167"/>
      </w:pPr>
      <w:r>
        <w:t>4.1.2.5 特殊规则（可选）</w:t>
      </w:r>
    </w:p>
    <w:p w14:paraId="494FF006">
      <w:pPr>
        <w:pStyle w:val="168"/>
      </w:pPr>
      <w:r>
        <w:t>• 专病信息修改后，系统自动记录修改人、修改时间及修改前的原始数据，留存日志；</w:t>
      </w:r>
    </w:p>
    <w:p w14:paraId="68C0CF40">
      <w:pPr>
        <w:pStyle w:val="168"/>
      </w:pPr>
      <w:r>
        <w:t>• 已审核通过的专病信息修改后，需重新提交管理员审核。</w:t>
      </w:r>
    </w:p>
    <w:p w14:paraId="382EFD6C">
      <w:pPr>
        <w:pStyle w:val="165"/>
      </w:pPr>
      <w:r>
        <w:t>4.2 数据查询模块</w:t>
      </w:r>
    </w:p>
    <w:p w14:paraId="12FFD0C7">
      <w:pPr>
        <w:pStyle w:val="166"/>
      </w:pPr>
      <w:r>
        <w:t>4.2.1 专病精准查询功能</w:t>
      </w:r>
    </w:p>
    <w:p w14:paraId="0FD09FBC">
      <w:pPr>
        <w:pStyle w:val="167"/>
      </w:pPr>
      <w:r>
        <w:t>4.2.1.1 功能描述（必选）</w:t>
      </w:r>
    </w:p>
    <w:p w14:paraId="6A1A1F31">
      <w:r>
        <w:t>用户（登录/未登录）均可进入专病查询页面，输入专病编码或专病名称，点击“精准查询”按钮，系统匹配唯一数据并展示专病完整信息，未匹配到数据则提示无结果。</w:t>
      </w:r>
    </w:p>
    <w:p w14:paraId="2B1EA32D">
      <w:pPr>
        <w:pStyle w:val="167"/>
      </w:pPr>
      <w:r>
        <w:t>4.2.1.2 输入项（必选）</w:t>
      </w:r>
    </w:p>
    <w:p w14:paraId="26710F54">
      <w:pPr>
        <w:pStyle w:val="168"/>
      </w:pPr>
      <w:r>
        <w:t>采用“输入项名称 | 是否必填 | 格式要求 | 取值范围 | 备注”的固定格式，表格如下：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7027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3" w:type="dxa"/>
          </w:tcPr>
          <w:p w14:paraId="01094545">
            <w:pPr>
              <w:spacing w:after="0"/>
            </w:pPr>
            <w:r>
              <w:t>输入项名称</w:t>
            </w:r>
          </w:p>
        </w:tc>
        <w:tc>
          <w:tcPr>
            <w:tcW w:w="1813" w:type="dxa"/>
          </w:tcPr>
          <w:p w14:paraId="3022CD8A">
            <w:pPr>
              <w:spacing w:after="0"/>
            </w:pPr>
            <w:r>
              <w:t>是否必填</w:t>
            </w:r>
          </w:p>
        </w:tc>
        <w:tc>
          <w:tcPr>
            <w:tcW w:w="1813" w:type="dxa"/>
          </w:tcPr>
          <w:p w14:paraId="57D6C3CE">
            <w:pPr>
              <w:spacing w:after="0"/>
            </w:pPr>
            <w:r>
              <w:t>格式要求</w:t>
            </w:r>
          </w:p>
        </w:tc>
        <w:tc>
          <w:tcPr>
            <w:tcW w:w="1813" w:type="dxa"/>
          </w:tcPr>
          <w:p w14:paraId="3CAF053D">
            <w:pPr>
              <w:spacing w:after="0"/>
            </w:pPr>
            <w:r>
              <w:t>取值范围</w:t>
            </w:r>
          </w:p>
        </w:tc>
        <w:tc>
          <w:tcPr>
            <w:tcW w:w="1813" w:type="dxa"/>
          </w:tcPr>
          <w:p w14:paraId="7F313E06">
            <w:pPr>
              <w:spacing w:after="0"/>
            </w:pPr>
            <w:r>
              <w:t>备注</w:t>
            </w:r>
          </w:p>
        </w:tc>
      </w:tr>
      <w:tr w14:paraId="6A162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3" w:type="dxa"/>
          </w:tcPr>
          <w:p w14:paraId="7B43ED72">
            <w:pPr>
              <w:spacing w:after="0"/>
            </w:pPr>
            <w:r>
              <w:t>专病编码</w:t>
            </w:r>
          </w:p>
        </w:tc>
        <w:tc>
          <w:tcPr>
            <w:tcW w:w="1813" w:type="dxa"/>
          </w:tcPr>
          <w:p w14:paraId="0C71B186">
            <w:pPr>
              <w:spacing w:after="0"/>
            </w:pPr>
            <w:r>
              <w:t>否</w:t>
            </w:r>
          </w:p>
        </w:tc>
        <w:tc>
          <w:tcPr>
            <w:tcW w:w="1813" w:type="dxa"/>
          </w:tcPr>
          <w:p w14:paraId="1148A4C5">
            <w:pPr>
              <w:spacing w:after="0"/>
            </w:pPr>
            <w:r>
              <w:t>字母+数字组合</w:t>
            </w:r>
          </w:p>
        </w:tc>
        <w:tc>
          <w:tcPr>
            <w:tcW w:w="1813" w:type="dxa"/>
          </w:tcPr>
          <w:p w14:paraId="18F8EAF3">
            <w:pPr>
              <w:spacing w:after="0"/>
            </w:pPr>
            <w:r>
              <w:t>6个字符</w:t>
            </w:r>
          </w:p>
        </w:tc>
        <w:tc>
          <w:tcPr>
            <w:tcW w:w="1813" w:type="dxa"/>
          </w:tcPr>
          <w:p w14:paraId="4D94E302">
            <w:pPr>
              <w:spacing w:after="0"/>
            </w:pPr>
            <w:r>
              <w:t>与编码录入格式一致</w:t>
            </w:r>
          </w:p>
        </w:tc>
      </w:tr>
      <w:tr w14:paraId="159FC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3" w:type="dxa"/>
          </w:tcPr>
          <w:p w14:paraId="55F4B85A">
            <w:pPr>
              <w:spacing w:after="0"/>
            </w:pPr>
            <w:r>
              <w:t>专病名称</w:t>
            </w:r>
          </w:p>
        </w:tc>
        <w:tc>
          <w:tcPr>
            <w:tcW w:w="1813" w:type="dxa"/>
          </w:tcPr>
          <w:p w14:paraId="4138E110">
            <w:pPr>
              <w:spacing w:after="0"/>
            </w:pPr>
            <w:r>
              <w:t>否</w:t>
            </w:r>
          </w:p>
        </w:tc>
        <w:tc>
          <w:tcPr>
            <w:tcW w:w="1813" w:type="dxa"/>
          </w:tcPr>
          <w:p w14:paraId="03675164">
            <w:pPr>
              <w:spacing w:after="0"/>
            </w:pPr>
            <w:r>
              <w:t>中文+英文，可含顿号/括号</w:t>
            </w:r>
          </w:p>
        </w:tc>
        <w:tc>
          <w:tcPr>
            <w:tcW w:w="1813" w:type="dxa"/>
          </w:tcPr>
          <w:p w14:paraId="1EF5D539">
            <w:pPr>
              <w:spacing w:after="0"/>
            </w:pPr>
            <w:r>
              <w:t>2-50个字符</w:t>
            </w:r>
          </w:p>
        </w:tc>
        <w:tc>
          <w:tcPr>
            <w:tcW w:w="1813" w:type="dxa"/>
          </w:tcPr>
          <w:p w14:paraId="395DE747">
            <w:pPr>
              <w:spacing w:after="0"/>
            </w:pPr>
            <w:r>
              <w:t>支持模糊匹配</w:t>
            </w:r>
          </w:p>
        </w:tc>
      </w:tr>
      <w:tr w14:paraId="68623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3" w:type="dxa"/>
          </w:tcPr>
          <w:p w14:paraId="2A54B359">
            <w:pPr>
              <w:spacing w:after="0"/>
            </w:pPr>
            <w:r>
              <w:t>查询类型</w:t>
            </w:r>
          </w:p>
        </w:tc>
        <w:tc>
          <w:tcPr>
            <w:tcW w:w="1813" w:type="dxa"/>
          </w:tcPr>
          <w:p w14:paraId="4A41C23C">
            <w:pPr>
              <w:spacing w:after="0"/>
            </w:pPr>
            <w:r>
              <w:t>是</w:t>
            </w:r>
          </w:p>
        </w:tc>
        <w:tc>
          <w:tcPr>
            <w:tcW w:w="1813" w:type="dxa"/>
          </w:tcPr>
          <w:p w14:paraId="72DB2770">
            <w:pPr>
              <w:spacing w:after="0"/>
            </w:pPr>
            <w:r>
              <w:t>纯中文</w:t>
            </w:r>
          </w:p>
        </w:tc>
        <w:tc>
          <w:tcPr>
            <w:tcW w:w="1813" w:type="dxa"/>
          </w:tcPr>
          <w:p w14:paraId="565A15EA">
            <w:pPr>
              <w:spacing w:after="0"/>
            </w:pPr>
            <w:r>
              <w:t>2-10个字符</w:t>
            </w:r>
          </w:p>
        </w:tc>
        <w:tc>
          <w:tcPr>
            <w:tcW w:w="1813" w:type="dxa"/>
          </w:tcPr>
          <w:p w14:paraId="7FD1AC80">
            <w:pPr>
              <w:spacing w:after="0"/>
            </w:pPr>
            <w:r>
              <w:t>下拉框选择：精准编码/精准名称</w:t>
            </w:r>
          </w:p>
        </w:tc>
      </w:tr>
    </w:tbl>
    <w:p w14:paraId="65DE657A">
      <w:pPr>
        <w:pStyle w:val="168"/>
      </w:pPr>
    </w:p>
    <w:p w14:paraId="550F0805">
      <w:pPr>
        <w:pStyle w:val="167"/>
      </w:pPr>
      <w:r>
        <w:t>4.2.1.3 输出项（必选）</w:t>
      </w:r>
    </w:p>
    <w:p w14:paraId="7DF3C494">
      <w:pPr>
        <w:pStyle w:val="168"/>
      </w:pPr>
      <w:r>
        <w:t>• 正常场景：输入有效编码/名称，查询后展示专病编码、名称、所属科室、发病机制等完整信息；</w:t>
      </w:r>
    </w:p>
    <w:p w14:paraId="3DB17492">
      <w:pPr>
        <w:pStyle w:val="168"/>
      </w:pPr>
      <w:r>
        <w:t>• 异常场景1：输入不存在的编码/名称，提示“未查询到相关专病信息，请核对后重试”；</w:t>
      </w:r>
    </w:p>
    <w:p w14:paraId="027B29C6">
      <w:pPr>
        <w:pStyle w:val="168"/>
      </w:pPr>
      <w:r>
        <w:t>• 异常场景2：仅选择查询类型，未输入编码/名称，提示“请输入查询关键词后再提交”。</w:t>
      </w:r>
    </w:p>
    <w:p w14:paraId="3E70EEFF">
      <w:pPr>
        <w:pStyle w:val="164"/>
      </w:pPr>
      <w:r>
        <w:t>五、异常场景汇总（可选，补充全局异常）</w:t>
      </w:r>
    </w:p>
    <w:p w14:paraId="4083260A">
      <w:pPr>
        <w:pStyle w:val="168"/>
      </w:pPr>
      <w:r>
        <w:t>• 网络异常：所有功能操作时，若网络中断，提示“网络异常，请检查网络连接后重试”，操作不生效，未保存的数据不丢失；</w:t>
      </w:r>
    </w:p>
    <w:p w14:paraId="745055FE">
      <w:pPr>
        <w:pStyle w:val="168"/>
      </w:pPr>
      <w:r>
        <w:t>• 系统异常：操作过程中系统报错，提示“系统繁忙，请稍后再试”，并自动记录错误日志至系统后台；</w:t>
      </w:r>
    </w:p>
    <w:p w14:paraId="0B31AA2F">
      <w:pPr>
        <w:pStyle w:val="168"/>
      </w:pPr>
      <w:r>
        <w:t>• 权限异常：未登录用户尝试点击录入/编辑/删除按钮，自动跳转至登录页面，提示“请先登录系统后再进行操作”；</w:t>
      </w:r>
    </w:p>
    <w:p w14:paraId="128DBC6A">
      <w:pPr>
        <w:pStyle w:val="168"/>
      </w:pPr>
      <w:r>
        <w:t>• 会话过期：用户长时间未操作（超过30分钟），再次操作时提示“会话已过期，请重新登录”，自动跳转至登录页面；</w:t>
      </w:r>
    </w:p>
    <w:p w14:paraId="098DB26E">
      <w:pPr>
        <w:pStyle w:val="168"/>
      </w:pPr>
      <w:r>
        <w:t>• 数据为空：专病信息列表无数据时，展示“暂无专病信息，请先录入”，无查询结果时展示“未查询到相关数据”。</w:t>
      </w:r>
    </w:p>
    <w:p w14:paraId="4F4A9940">
      <w:pPr>
        <w:pStyle w:val="164"/>
      </w:pPr>
      <w:r>
        <w:t>六、附录（可选）</w:t>
      </w:r>
    </w:p>
    <w:p w14:paraId="003BD514">
      <w:pPr>
        <w:pStyle w:val="165"/>
      </w:pPr>
      <w:r>
        <w:t>6.1 术语说明</w:t>
      </w:r>
    </w:p>
    <w:p w14:paraId="33FF4BF7">
      <w:pPr>
        <w:pStyle w:val="168"/>
      </w:pPr>
      <w:r>
        <w:t>• 专病库：医疗领域中针对特定疾病建立的标准化信息数据库，包含疾病编码、名称、诊疗方案等核心信息；</w:t>
      </w:r>
    </w:p>
    <w:p w14:paraId="3901F200">
      <w:pPr>
        <w:pStyle w:val="168"/>
      </w:pPr>
      <w:r>
        <w:t>• 科室管理员：各临床科室负责专病信息审核、管理的工作人员，拥有审核、编辑、删除的最高权限；</w:t>
      </w:r>
    </w:p>
    <w:p w14:paraId="6B9220B1">
      <w:pPr>
        <w:pStyle w:val="168"/>
      </w:pPr>
      <w:r>
        <w:t>• 公开查询：未登录用户可访问的查询页面，仅展示审核通过的专病基础信息，无详细诊疗方案；</w:t>
      </w:r>
    </w:p>
    <w:p w14:paraId="7483EAFC">
      <w:pPr>
        <w:pStyle w:val="168"/>
      </w:pPr>
      <w:r>
        <w:t>• 精准查询：根据唯一的专病编码或名称进行的精确匹配查询，仅返回一条结果。</w:t>
      </w:r>
    </w:p>
    <w:p w14:paraId="68F82B2C">
      <w:pPr>
        <w:pStyle w:val="165"/>
      </w:pPr>
      <w:r>
        <w:t>6.2 补充说明</w:t>
      </w:r>
    </w:p>
    <w:p w14:paraId="1859F654">
      <w:pPr>
        <w:pStyle w:val="168"/>
      </w:pPr>
      <w:r>
        <w:t>• 本版本需求中，“专病数据批量导入/导出功能”暂不开发，无需生成相关测试用例；</w:t>
      </w:r>
    </w:p>
    <w:p w14:paraId="09D13764">
      <w:pPr>
        <w:pStyle w:val="168"/>
      </w:pPr>
      <w:r>
        <w:t>• 专病信息的“删除功能”仅科室管理员拥有权限，普通用户无该操作按钮，无需单独测试权限控制；</w:t>
      </w:r>
    </w:p>
    <w:p w14:paraId="32E4D95A">
      <w:pPr>
        <w:pStyle w:val="168"/>
      </w:pPr>
      <w:r>
        <w:t>• 需求变更记录：2026-02-18 新增“专病信息录入后需管理员审核”规则，原无审核环节。</w:t>
      </w:r>
      <w:bookmarkStart w:id="0" w:name="_GoBack"/>
      <w:bookmarkEnd w:id="0"/>
    </w:p>
    <w:sectPr>
      <w:pgSz w:w="12240" w:h="15840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CDF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20"/>
      <w:jc w:val="left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Heading 1 Custom"/>
    <w:qFormat/>
    <w:uiPriority w:val="0"/>
    <w:pPr>
      <w:spacing w:before="360" w:after="360" w:line="360" w:lineRule="auto"/>
    </w:pPr>
    <w:rPr>
      <w:rFonts w:ascii="宋体" w:hAnsi="宋体" w:eastAsia="宋体" w:cstheme="minorBidi"/>
      <w:b/>
      <w:sz w:val="32"/>
      <w:szCs w:val="22"/>
      <w:lang w:val="en-US" w:eastAsia="en-US" w:bidi="ar-SA"/>
    </w:rPr>
  </w:style>
  <w:style w:type="paragraph" w:customStyle="1" w:styleId="165">
    <w:name w:val="Heading 2 Custom"/>
    <w:qFormat/>
    <w:uiPriority w:val="0"/>
    <w:pPr>
      <w:spacing w:before="240" w:after="240" w:line="360" w:lineRule="auto"/>
    </w:pPr>
    <w:rPr>
      <w:rFonts w:ascii="宋体" w:hAnsi="宋体" w:eastAsia="宋体" w:cstheme="minorBidi"/>
      <w:b/>
      <w:sz w:val="28"/>
      <w:szCs w:val="22"/>
      <w:lang w:val="en-US" w:eastAsia="en-US" w:bidi="ar-SA"/>
    </w:rPr>
  </w:style>
  <w:style w:type="paragraph" w:customStyle="1" w:styleId="166">
    <w:name w:val="Heading 3 Custom"/>
    <w:qFormat/>
    <w:uiPriority w:val="0"/>
    <w:pPr>
      <w:spacing w:after="200" w:line="360" w:lineRule="auto"/>
    </w:pPr>
    <w:rPr>
      <w:rFonts w:ascii="宋体" w:hAnsi="宋体" w:eastAsia="宋体" w:cstheme="minorBidi"/>
      <w:b/>
      <w:sz w:val="26"/>
      <w:szCs w:val="22"/>
      <w:lang w:val="en-US" w:eastAsia="en-US" w:bidi="ar-SA"/>
    </w:rPr>
  </w:style>
  <w:style w:type="paragraph" w:customStyle="1" w:styleId="167">
    <w:name w:val="Heading 4 Custom"/>
    <w:qFormat/>
    <w:uiPriority w:val="0"/>
    <w:pPr>
      <w:spacing w:after="200" w:line="360" w:lineRule="auto"/>
    </w:pPr>
    <w:rPr>
      <w:rFonts w:ascii="宋体" w:hAnsi="宋体" w:eastAsia="宋体" w:cstheme="minorBidi"/>
      <w:b/>
      <w:sz w:val="24"/>
      <w:szCs w:val="22"/>
      <w:lang w:val="en-US" w:eastAsia="en-US" w:bidi="ar-SA"/>
    </w:rPr>
  </w:style>
  <w:style w:type="paragraph" w:customStyle="1" w:styleId="168">
    <w:name w:val="No Indent"/>
    <w:qFormat/>
    <w:uiPriority w:val="0"/>
    <w:pPr>
      <w:spacing w:after="200" w:line="360" w:lineRule="auto"/>
      <w:ind w:firstLine="0"/>
      <w:jc w:val="left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69">
    <w:name w:val="Center Bold"/>
    <w:qFormat/>
    <w:uiPriority w:val="0"/>
    <w:pPr>
      <w:spacing w:after="480" w:line="360" w:lineRule="auto"/>
      <w:ind w:firstLine="0"/>
      <w:jc w:val="center"/>
    </w:pPr>
    <w:rPr>
      <w:rFonts w:ascii="宋体" w:hAnsi="宋体" w:eastAsia="宋体" w:cstheme="minorBidi"/>
      <w:b/>
      <w:sz w:val="40"/>
      <w:szCs w:val="22"/>
      <w:lang w:val="en-US" w:eastAsia="en-US" w:bidi="ar-SA"/>
    </w:rPr>
  </w:style>
  <w:style w:type="paragraph" w:customStyle="1" w:styleId="170">
    <w:name w:val="Center Normal"/>
    <w:qFormat/>
    <w:uiPriority w:val="0"/>
    <w:pPr>
      <w:spacing w:after="720" w:line="360" w:lineRule="auto"/>
      <w:ind w:firstLine="0"/>
      <w:jc w:val="center"/>
    </w:pPr>
    <w:rPr>
      <w:rFonts w:ascii="宋体" w:hAnsi="宋体" w:eastAsia="宋体" w:cstheme="minorBidi"/>
      <w:sz w:val="2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WPS_1649681654</cp:lastModifiedBy>
  <dcterms:modified xsi:type="dcterms:W3CDTF">2026-03-02T16:13:08Z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D0BF16A71CC577AF9446A56970E1C4ED_42</vt:lpwstr>
  </property>
</Properties>
</file>