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E347" w14:textId="77777777" w:rsidR="00F04A05" w:rsidRPr="00A73537" w:rsidRDefault="00F04A05" w:rsidP="003B101C">
      <w:pPr>
        <w:pStyle w:val="Title"/>
        <w:spacing w:line="480" w:lineRule="auto"/>
        <w:jc w:val="left"/>
        <w:rPr>
          <w:rFonts w:ascii="Times New Roman" w:hAnsi="Times New Roman" w:cs="Times New Roman"/>
          <w:sz w:val="24"/>
          <w:szCs w:val="24"/>
        </w:rPr>
      </w:pPr>
    </w:p>
    <w:p w14:paraId="619978E2" w14:textId="77777777" w:rsidR="00F04A05" w:rsidRPr="00A73537" w:rsidRDefault="00F04A05" w:rsidP="003B101C">
      <w:pPr>
        <w:pStyle w:val="Title"/>
        <w:spacing w:line="480" w:lineRule="auto"/>
        <w:jc w:val="left"/>
        <w:rPr>
          <w:rFonts w:ascii="Times New Roman" w:hAnsi="Times New Roman" w:cs="Times New Roman"/>
          <w:sz w:val="24"/>
          <w:szCs w:val="24"/>
        </w:rPr>
      </w:pPr>
    </w:p>
    <w:p w14:paraId="39AD1579" w14:textId="59F686AD" w:rsidR="00681769" w:rsidRPr="00A73537" w:rsidRDefault="00000000" w:rsidP="003B101C">
      <w:pPr>
        <w:pStyle w:val="Title"/>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Working Title: Trends and variability in chlorophyll </w:t>
      </w:r>
      <w:r w:rsidRPr="00B1705B">
        <w:rPr>
          <w:rFonts w:ascii="Times New Roman" w:hAnsi="Times New Roman" w:cs="Times New Roman"/>
          <w:i/>
          <w:iCs/>
          <w:sz w:val="24"/>
          <w:szCs w:val="24"/>
        </w:rPr>
        <w:t>a</w:t>
      </w:r>
      <w:r w:rsidRPr="00A73537">
        <w:rPr>
          <w:rFonts w:ascii="Times New Roman" w:hAnsi="Times New Roman" w:cs="Times New Roman"/>
          <w:sz w:val="24"/>
          <w:szCs w:val="24"/>
        </w:rPr>
        <w:t xml:space="preserve"> in a back-barrier lagoonal estuary in the southeastern United States</w:t>
      </w:r>
    </w:p>
    <w:p w14:paraId="7C374F3B" w14:textId="77777777" w:rsidR="00F04A05" w:rsidRPr="00A73537" w:rsidRDefault="00F04A05" w:rsidP="003B101C">
      <w:pPr>
        <w:jc w:val="left"/>
        <w:rPr>
          <w:rFonts w:ascii="Times New Roman" w:hAnsi="Times New Roman" w:cs="Times New Roman"/>
          <w:sz w:val="24"/>
          <w:szCs w:val="24"/>
        </w:rPr>
      </w:pPr>
    </w:p>
    <w:p w14:paraId="29BDF3D1" w14:textId="77777777" w:rsidR="00F04A05" w:rsidRPr="00A73537" w:rsidRDefault="00F04A05" w:rsidP="003B101C">
      <w:pPr>
        <w:jc w:val="left"/>
        <w:rPr>
          <w:rFonts w:ascii="Times New Roman" w:hAnsi="Times New Roman" w:cs="Times New Roman"/>
          <w:sz w:val="24"/>
          <w:szCs w:val="24"/>
        </w:rPr>
      </w:pPr>
    </w:p>
    <w:p w14:paraId="1D8AA3EE" w14:textId="75DF30AF"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Shannon D. Kimmel*, Nicole Dix</w:t>
      </w:r>
    </w:p>
    <w:p w14:paraId="5F524555" w14:textId="77777777" w:rsidR="00F04A05" w:rsidRPr="00A73537" w:rsidRDefault="00F04A05" w:rsidP="003B101C">
      <w:pPr>
        <w:jc w:val="left"/>
        <w:rPr>
          <w:rFonts w:ascii="Times New Roman" w:hAnsi="Times New Roman" w:cs="Times New Roman"/>
          <w:sz w:val="24"/>
          <w:szCs w:val="24"/>
        </w:rPr>
      </w:pPr>
    </w:p>
    <w:p w14:paraId="169CAD6D"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Guana Tolomato Matanzas National Estuarine Research Reserve, Ponte Vedra Beach, FL 32082</w:t>
      </w:r>
    </w:p>
    <w:p w14:paraId="45BABEFA" w14:textId="7F5632F9"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 xml:space="preserve">*Corresponding author: </w:t>
      </w:r>
      <w:hyperlink r:id="rId7" w:history="1">
        <w:r w:rsidRPr="00A73537">
          <w:rPr>
            <w:rStyle w:val="Hyperlink"/>
            <w:rFonts w:ascii="Times New Roman" w:hAnsi="Times New Roman" w:cs="Times New Roman"/>
            <w:sz w:val="24"/>
            <w:szCs w:val="24"/>
          </w:rPr>
          <w:t>Shannon.Dunnigan@dep.state.fl.us</w:t>
        </w:r>
      </w:hyperlink>
    </w:p>
    <w:p w14:paraId="680F613F"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ORCID:</w:t>
      </w:r>
    </w:p>
    <w:p w14:paraId="2BC57AB4" w14:textId="77777777" w:rsidR="00F04A05" w:rsidRPr="00A73537" w:rsidRDefault="00F04A05" w:rsidP="003B101C">
      <w:pPr>
        <w:jc w:val="left"/>
        <w:rPr>
          <w:rFonts w:ascii="Times New Roman" w:hAnsi="Times New Roman" w:cs="Times New Roman"/>
          <w:sz w:val="24"/>
          <w:szCs w:val="24"/>
        </w:rPr>
      </w:pPr>
    </w:p>
    <w:p w14:paraId="7F9E171F" w14:textId="77777777" w:rsidR="00F04A05" w:rsidRPr="00A73537" w:rsidRDefault="00F04A05" w:rsidP="003B101C">
      <w:pPr>
        <w:jc w:val="left"/>
        <w:rPr>
          <w:rFonts w:ascii="Times New Roman" w:hAnsi="Times New Roman" w:cs="Times New Roman"/>
          <w:sz w:val="24"/>
          <w:szCs w:val="24"/>
        </w:rPr>
      </w:pPr>
    </w:p>
    <w:p w14:paraId="454440E9" w14:textId="5832F6DA"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Keywords: chlorophyll-a, Generalized Additive Model, Time Series, Phytoplankton variability, Estuaries</w:t>
      </w:r>
    </w:p>
    <w:p w14:paraId="70360150" w14:textId="77777777" w:rsidR="00F04A05" w:rsidRPr="00A73537" w:rsidRDefault="00F04A05" w:rsidP="003B101C">
      <w:pPr>
        <w:jc w:val="left"/>
        <w:rPr>
          <w:rFonts w:ascii="Times New Roman" w:hAnsi="Times New Roman" w:cs="Times New Roman"/>
          <w:sz w:val="24"/>
          <w:szCs w:val="24"/>
        </w:rPr>
      </w:pPr>
    </w:p>
    <w:p w14:paraId="0F3E5A53"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1B6BE277" w14:textId="77777777" w:rsidR="00F04A05" w:rsidRPr="00A73537" w:rsidRDefault="00F04A05" w:rsidP="003B101C">
      <w:pPr>
        <w:pStyle w:val="Heading1"/>
        <w:jc w:val="left"/>
        <w:rPr>
          <w:rFonts w:ascii="Times New Roman" w:hAnsi="Times New Roman" w:cs="Times New Roman"/>
          <w:sz w:val="24"/>
          <w:szCs w:val="24"/>
        </w:rPr>
      </w:pPr>
      <w:r w:rsidRPr="00A73537">
        <w:rPr>
          <w:rFonts w:ascii="Times New Roman" w:hAnsi="Times New Roman" w:cs="Times New Roman"/>
          <w:sz w:val="24"/>
          <w:szCs w:val="24"/>
        </w:rPr>
        <w:lastRenderedPageBreak/>
        <w:t>Abstract</w:t>
      </w:r>
    </w:p>
    <w:p w14:paraId="526BBA8E" w14:textId="77777777" w:rsidR="00B1705B" w:rsidRDefault="00B1705B" w:rsidP="003B101C">
      <w:pPr>
        <w:jc w:val="left"/>
        <w:rPr>
          <w:rFonts w:ascii="Times New Roman" w:hAnsi="Times New Roman" w:cs="Times New Roman"/>
          <w:sz w:val="24"/>
          <w:szCs w:val="24"/>
        </w:rPr>
      </w:pPr>
    </w:p>
    <w:p w14:paraId="6612D493" w14:textId="79768225"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[providing space here]</w:t>
      </w:r>
    </w:p>
    <w:p w14:paraId="2F3E65D6" w14:textId="622CA716"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181AF088" w14:textId="4A6F3A05" w:rsidR="00F04A05" w:rsidRPr="00A73537" w:rsidRDefault="00F04A05" w:rsidP="003B101C">
      <w:pPr>
        <w:pStyle w:val="Heading1"/>
        <w:jc w:val="left"/>
        <w:rPr>
          <w:rFonts w:ascii="Times New Roman" w:hAnsi="Times New Roman" w:cs="Times New Roman"/>
          <w:sz w:val="24"/>
          <w:szCs w:val="24"/>
        </w:rPr>
      </w:pPr>
      <w:r w:rsidRPr="00A73537">
        <w:rPr>
          <w:rFonts w:ascii="Times New Roman" w:hAnsi="Times New Roman" w:cs="Times New Roman"/>
          <w:sz w:val="24"/>
          <w:szCs w:val="24"/>
        </w:rPr>
        <w:lastRenderedPageBreak/>
        <w:t>Introduction</w:t>
      </w:r>
    </w:p>
    <w:p w14:paraId="401DA0EB" w14:textId="07D592EB" w:rsidR="00681769" w:rsidRPr="00A73537" w:rsidRDefault="00000000" w:rsidP="003B101C">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Effective management of coastal ecosystems to sustain </w:t>
      </w:r>
      <w:proofErr w:type="gramStart"/>
      <w:r w:rsidRPr="00A73537">
        <w:rPr>
          <w:rFonts w:ascii="Times New Roman" w:hAnsi="Times New Roman" w:cs="Times New Roman"/>
          <w:sz w:val="24"/>
          <w:szCs w:val="24"/>
        </w:rPr>
        <w:t>current status</w:t>
      </w:r>
      <w:proofErr w:type="gramEnd"/>
      <w:r w:rsidRPr="00A73537">
        <w:rPr>
          <w:rFonts w:ascii="Times New Roman" w:hAnsi="Times New Roman" w:cs="Times New Roman"/>
          <w:sz w:val="24"/>
          <w:szCs w:val="24"/>
        </w:rPr>
        <w:t xml:space="preserve"> or to mitigate impacts requires information on how these systems have changed over time. This is especially true to differentiate between anthropogenic impacts and natural variability within these systems. Estuaries, the natural buffer zone between rivers and ocean, are often some of the most vulnerable ecosystems as their watersheds are much larger than their area. The problem of nutrient enrichment and pollution in coastal environments is growing worldwide, particularly as populations increase in these watersheds and more of the upland habitats are developed for residential, urban, or industrial complexes (Freeman et al. 2019; Kyzar et al. 2021).</w:t>
      </w:r>
    </w:p>
    <w:p w14:paraId="4BB328AB" w14:textId="77777777"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b/>
          <w:bCs/>
          <w:sz w:val="24"/>
          <w:szCs w:val="24"/>
        </w:rPr>
        <w:t>Nutrient enrichment alters coastal ecosystems often first with increases in algal production and biomass (CITATION?)</w:t>
      </w:r>
      <w:r w:rsidRPr="00A73537">
        <w:rPr>
          <w:rFonts w:ascii="Times New Roman" w:hAnsi="Times New Roman" w:cs="Times New Roman"/>
          <w:sz w:val="24"/>
          <w:szCs w:val="24"/>
        </w:rPr>
        <w:t xml:space="preserve"> and the response of these systems is quite variable over space and time (Cloern and Jassby 2010). Anthropogenic impacts are not the only </w:t>
      </w:r>
      <w:proofErr w:type="gramStart"/>
      <w:r w:rsidRPr="00A73537">
        <w:rPr>
          <w:rFonts w:ascii="Times New Roman" w:hAnsi="Times New Roman" w:cs="Times New Roman"/>
          <w:sz w:val="24"/>
          <w:szCs w:val="24"/>
        </w:rPr>
        <w:t>the primary</w:t>
      </w:r>
      <w:proofErr w:type="gramEnd"/>
      <w:r w:rsidRPr="00A73537">
        <w:rPr>
          <w:rFonts w:ascii="Times New Roman" w:hAnsi="Times New Roman" w:cs="Times New Roman"/>
          <w:sz w:val="24"/>
          <w:szCs w:val="24"/>
        </w:rPr>
        <w:t xml:space="preserve"> drivers in these systems as climate also plays a large role in long-term conditions. In </w:t>
      </w:r>
      <w:proofErr w:type="gramStart"/>
      <w:r w:rsidRPr="00A73537">
        <w:rPr>
          <w:rFonts w:ascii="Times New Roman" w:hAnsi="Times New Roman" w:cs="Times New Roman"/>
          <w:sz w:val="24"/>
          <w:szCs w:val="24"/>
        </w:rPr>
        <w:t>the Chesapeake</w:t>
      </w:r>
      <w:proofErr w:type="gramEnd"/>
      <w:r w:rsidRPr="00A73537">
        <w:rPr>
          <w:rFonts w:ascii="Times New Roman" w:hAnsi="Times New Roman" w:cs="Times New Roman"/>
          <w:sz w:val="24"/>
          <w:szCs w:val="24"/>
        </w:rPr>
        <w:t xml:space="preserve"> Bay, precipitation and tropical cyclone activity results in variable phytoplankton production coupled with underlying increases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(a common proxy for phytoplankton biomass) due to eutrophication (Harding et al. 2016). In the Indian River Lagoon and St. Lucie estuaries, variability in phytoplankton blooms have been attributed to cyclical patterns (</w:t>
      </w:r>
      <w:proofErr w:type="gramStart"/>
      <w:r w:rsidRPr="00A73537">
        <w:rPr>
          <w:rFonts w:ascii="Times New Roman" w:hAnsi="Times New Roman" w:cs="Times New Roman"/>
          <w:sz w:val="24"/>
          <w:szCs w:val="24"/>
        </w:rPr>
        <w:t>e.g.</w:t>
      </w:r>
      <w:proofErr w:type="gramEnd"/>
      <w:r w:rsidRPr="00A73537">
        <w:rPr>
          <w:rFonts w:ascii="Times New Roman" w:hAnsi="Times New Roman" w:cs="Times New Roman"/>
          <w:sz w:val="24"/>
          <w:szCs w:val="24"/>
        </w:rPr>
        <w:t xml:space="preserve"> El Niño/La Niña periods) and tropical cyclone events, typically as these events bring large amounts of precipitation (Phlips et al. 2020; Phlips et al. 2021). There are also systems, like the San Francisco estuary which, though nutrient-enriched, do not experience water quality impacts common to other enriched systems (like frequent phytoplankton blooms or low dissolved oxygen) attributed to a variety of variables such as strong tidal flushing and heavy phytoplankton grazing pressure from bivalves (Jassby 2008; Cloern and Jassby 2010; Cloern </w:t>
      </w:r>
      <w:r w:rsidRPr="00A73537">
        <w:rPr>
          <w:rFonts w:ascii="Times New Roman" w:hAnsi="Times New Roman" w:cs="Times New Roman"/>
          <w:sz w:val="24"/>
          <w:szCs w:val="24"/>
        </w:rPr>
        <w:lastRenderedPageBreak/>
        <w:t xml:space="preserve">2019). Additionally, the issue of nutrient pollution is not isolated to developed watersheds as even watersheds with low levels of development have been found to exhibit high levels of nutrient and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proofErr w:type="gramStart"/>
      <w:r w:rsidRPr="00A73537">
        <w:rPr>
          <w:rFonts w:ascii="Times New Roman" w:hAnsi="Times New Roman" w:cs="Times New Roman"/>
          <w:sz w:val="24"/>
          <w:szCs w:val="24"/>
        </w:rPr>
        <w:t>concentrations</w:t>
      </w:r>
      <w:proofErr w:type="gramEnd"/>
      <w:r w:rsidRPr="00A73537">
        <w:rPr>
          <w:rFonts w:ascii="Times New Roman" w:hAnsi="Times New Roman" w:cs="Times New Roman"/>
          <w:sz w:val="24"/>
          <w:szCs w:val="24"/>
        </w:rPr>
        <w:t xml:space="preserve">, such as the tidal creeks in the Ashepoo-Combahee-Edisto Basin in South Carolina (Keppler et al. 2015). </w:t>
      </w:r>
      <w:proofErr w:type="gramStart"/>
      <w:r w:rsidRPr="00A73537">
        <w:rPr>
          <w:rFonts w:ascii="Times New Roman" w:hAnsi="Times New Roman" w:cs="Times New Roman"/>
          <w:sz w:val="24"/>
          <w:szCs w:val="24"/>
        </w:rPr>
        <w:t>Therefore</w:t>
      </w:r>
      <w:proofErr w:type="gramEnd"/>
      <w:r w:rsidRPr="00A73537">
        <w:rPr>
          <w:rFonts w:ascii="Times New Roman" w:hAnsi="Times New Roman" w:cs="Times New Roman"/>
          <w:sz w:val="24"/>
          <w:szCs w:val="24"/>
        </w:rPr>
        <w:t xml:space="preserve"> the use of observational information from long-term research and monitoring programs provides the most valuable information for place-based and adaptive strategies in the management of coastal ecosystems.</w:t>
      </w:r>
    </w:p>
    <w:p w14:paraId="332C0509" w14:textId="77777777"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The System-Wide Monitoring Program (SWMP) of the National Estuarine Research Reserve System (NERRS) is an established long-term monitoring program that has been a cornerstone of the NERRS since its inception in 1995. The SWMP utilizes standardized equipment and protocols to collect high-frequency and continuous water quality and meteorological data in a variety of estuarine environments across the United States and Puerto Rico. Due to the standardization of the program, and its well-developed and documented data management protocols for quality assurance and quality control, it serves as an excellent resource for helping to identify trends, patterns, and scales of variability in phytoplankton dynamics as well as their potential drivers within estuarine environments (System 2022).</w:t>
      </w:r>
    </w:p>
    <w:p w14:paraId="3AC9E6BD" w14:textId="77777777"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One of thirty NERRS nationwide, three of which exist in Florida, the Guana Tolomato Matanzas National Estuarine Research Reserve (GTMNERR) has collected long-term data on water quality and meteorological conditions in the Guana-Tolomato-Matanzas (GTM) estuary since 2002. The GTM is a bar-built estuary with enclosed lagoons “rivers” (the Guana, Tolomato, and Matanzas) that trifurcate at the St. Augustine Inlet (</w:t>
      </w:r>
      <w:r w:rsidRPr="00A73537">
        <w:rPr>
          <w:rFonts w:ascii="Times New Roman" w:hAnsi="Times New Roman" w:cs="Times New Roman"/>
          <w:b/>
          <w:bCs/>
          <w:sz w:val="24"/>
          <w:szCs w:val="24"/>
        </w:rPr>
        <w:t>MAP REFERENCE HERE</w:t>
      </w:r>
      <w:r w:rsidRPr="00A73537">
        <w:rPr>
          <w:rFonts w:ascii="Times New Roman" w:hAnsi="Times New Roman" w:cs="Times New Roman"/>
          <w:sz w:val="24"/>
          <w:szCs w:val="24"/>
        </w:rPr>
        <w:t xml:space="preserve">). The St. Augustine Inlet is one of two inlets in this </w:t>
      </w:r>
      <w:proofErr w:type="gramStart"/>
      <w:r w:rsidRPr="00A73537">
        <w:rPr>
          <w:rFonts w:ascii="Times New Roman" w:hAnsi="Times New Roman" w:cs="Times New Roman"/>
          <w:sz w:val="24"/>
          <w:szCs w:val="24"/>
        </w:rPr>
        <w:t>system</w:t>
      </w:r>
      <w:proofErr w:type="gramEnd"/>
      <w:r w:rsidRPr="00A73537">
        <w:rPr>
          <w:rFonts w:ascii="Times New Roman" w:hAnsi="Times New Roman" w:cs="Times New Roman"/>
          <w:sz w:val="24"/>
          <w:szCs w:val="24"/>
        </w:rPr>
        <w:t xml:space="preserve"> and it is stabilized with a jetty and maintained by the US Army Corps of Engineers to a depth of 5-m and the other, the Matanzas Inlet, is one of Florida’s few remaining unstructured inlets on the Atlantic Coast (Dean </w:t>
      </w:r>
      <w:r w:rsidRPr="00A73537">
        <w:rPr>
          <w:rFonts w:ascii="Times New Roman" w:hAnsi="Times New Roman" w:cs="Times New Roman"/>
          <w:sz w:val="24"/>
          <w:szCs w:val="24"/>
        </w:rPr>
        <w:lastRenderedPageBreak/>
        <w:t>and O’Brien 1987). Overall, the GTM estuary is a well-mixed and well-flushed estuary with an absence of a freshwater river and a short residence time of approximately 12.6 days (Phlips et al. 2004; Sheng et al. 2008; Gray et al. 2021). The estuary is within a temperate-subtropical climatic ecotone dominated by salt marsh and mangrove habitats, intertidal oyster reefs, tidal creeks, mud flats, and open water (Williams et al. 2014; Bacopoulos et al. 2019). The GTM estuary hosts exceptionally intact and robust populations of eastern oysters (</w:t>
      </w:r>
      <w:r w:rsidRPr="00A73537">
        <w:rPr>
          <w:rFonts w:ascii="Times New Roman" w:hAnsi="Times New Roman" w:cs="Times New Roman"/>
          <w:i/>
          <w:iCs/>
          <w:sz w:val="24"/>
          <w:szCs w:val="24"/>
        </w:rPr>
        <w:t>Crassostrea virginica</w:t>
      </w:r>
      <w:r w:rsidRPr="00A73537">
        <w:rPr>
          <w:rFonts w:ascii="Times New Roman" w:hAnsi="Times New Roman" w:cs="Times New Roman"/>
          <w:sz w:val="24"/>
          <w:szCs w:val="24"/>
        </w:rPr>
        <w:t>) that filter ~60% of the estuary’s volume within a single residence time (Gray et al. 2021). It is likely these filtration services coupled with the short residence times keep phytoplankton biomass low (Dix et al. 2013; Hart et al. 2015).</w:t>
      </w:r>
    </w:p>
    <w:p w14:paraId="6EA5AA89" w14:textId="77777777"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Cloern and Jassby (2010) provided a conceptual framework for establishing and comparing variability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by investigating 84 estuarine-coastal sites and established underlying patterns in site-specific relative importance of disturbance, annual climate cycles, and levels of nutrient enrichment. For example, sites with regular seasonal patterns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were found to largely be driven by annual cycles such as bivalve grazing pressure which oscillate over the annual temperature cycle. Sites with large annual variability were commonly attributed to disturbance from natural events (</w:t>
      </w:r>
      <w:proofErr w:type="gramStart"/>
      <w:r w:rsidRPr="00A73537">
        <w:rPr>
          <w:rFonts w:ascii="Times New Roman" w:hAnsi="Times New Roman" w:cs="Times New Roman"/>
          <w:sz w:val="24"/>
          <w:szCs w:val="24"/>
        </w:rPr>
        <w:t>e.g.</w:t>
      </w:r>
      <w:proofErr w:type="gramEnd"/>
      <w:r w:rsidRPr="00A73537">
        <w:rPr>
          <w:rFonts w:ascii="Times New Roman" w:hAnsi="Times New Roman" w:cs="Times New Roman"/>
          <w:sz w:val="24"/>
          <w:szCs w:val="24"/>
        </w:rPr>
        <w:t xml:space="preserve"> hurricanes) or human actions (implementation of policies that reduced nutrient input into waterways). This study uses the established long-term monitoring framework of the NERRS SWMP to establish trends, patterns, and scales in variability of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for a 20-year </w:t>
      </w:r>
      <w:proofErr w:type="gramStart"/>
      <w:r w:rsidRPr="00A73537">
        <w:rPr>
          <w:rFonts w:ascii="Times New Roman" w:hAnsi="Times New Roman" w:cs="Times New Roman"/>
          <w:sz w:val="24"/>
          <w:szCs w:val="24"/>
        </w:rPr>
        <w:t>time period</w:t>
      </w:r>
      <w:proofErr w:type="gramEnd"/>
      <w:r w:rsidRPr="00A73537">
        <w:rPr>
          <w:rFonts w:ascii="Times New Roman" w:hAnsi="Times New Roman" w:cs="Times New Roman"/>
          <w:sz w:val="24"/>
          <w:szCs w:val="24"/>
        </w:rPr>
        <w:t xml:space="preserve"> (2003-2022).</w:t>
      </w:r>
    </w:p>
    <w:p w14:paraId="648C4DB7" w14:textId="77777777"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The GTM estuary has previously been described as </w:t>
      </w:r>
      <w:proofErr w:type="gramStart"/>
      <w:r w:rsidRPr="00A73537">
        <w:rPr>
          <w:rFonts w:ascii="Times New Roman" w:hAnsi="Times New Roman" w:cs="Times New Roman"/>
          <w:sz w:val="24"/>
          <w:szCs w:val="24"/>
        </w:rPr>
        <w:t>similar to</w:t>
      </w:r>
      <w:proofErr w:type="gramEnd"/>
      <w:r w:rsidRPr="00A73537">
        <w:rPr>
          <w:rFonts w:ascii="Times New Roman" w:hAnsi="Times New Roman" w:cs="Times New Roman"/>
          <w:sz w:val="24"/>
          <w:szCs w:val="24"/>
        </w:rPr>
        <w:t xml:space="preserve"> other temperate estuaries along the southeastern United States in physiochemical variability with factors such as temperature and salinity (Apple et al. 2008). Patterns in community structure and seasonality of ichthyoplankton ingression have also been found to resemble those of temperate, </w:t>
      </w:r>
      <w:proofErr w:type="gramStart"/>
      <w:r w:rsidRPr="00A73537">
        <w:rPr>
          <w:rFonts w:ascii="Times New Roman" w:hAnsi="Times New Roman" w:cs="Times New Roman"/>
          <w:sz w:val="24"/>
          <w:szCs w:val="24"/>
        </w:rPr>
        <w:t>tidally-</w:t>
      </w:r>
      <w:r w:rsidRPr="00A73537">
        <w:rPr>
          <w:rFonts w:ascii="Times New Roman" w:hAnsi="Times New Roman" w:cs="Times New Roman"/>
          <w:sz w:val="24"/>
          <w:szCs w:val="24"/>
        </w:rPr>
        <w:lastRenderedPageBreak/>
        <w:t>influenced</w:t>
      </w:r>
      <w:proofErr w:type="gramEnd"/>
      <w:r w:rsidRPr="00A73537">
        <w:rPr>
          <w:rFonts w:ascii="Times New Roman" w:hAnsi="Times New Roman" w:cs="Times New Roman"/>
          <w:sz w:val="24"/>
          <w:szCs w:val="24"/>
        </w:rPr>
        <w:t xml:space="preserve"> estuaries such as North-Inlet, South Carolina (Korsman et al. 2017). In Cloern and Jassby (2010), North-Inlet was one of the 84 sites in which strong seasonal patterns </w:t>
      </w:r>
      <w:proofErr w:type="gramStart"/>
      <w:r w:rsidRPr="00A73537">
        <w:rPr>
          <w:rFonts w:ascii="Times New Roman" w:hAnsi="Times New Roman" w:cs="Times New Roman"/>
          <w:sz w:val="24"/>
          <w:szCs w:val="24"/>
        </w:rPr>
        <w:t>were connected with</w:t>
      </w:r>
      <w:proofErr w:type="gramEnd"/>
      <w:r w:rsidRPr="00A73537">
        <w:rPr>
          <w:rFonts w:ascii="Times New Roman" w:hAnsi="Times New Roman" w:cs="Times New Roman"/>
          <w:sz w:val="24"/>
          <w:szCs w:val="24"/>
        </w:rPr>
        <w:t xml:space="preserve"> filtration rates of native oyster populations. Dix et al. (2013) previously described bivalve grazing pressure from oysters and high tidal exchange supporting small inter-annual variability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in the GTM estuary. Therefore, coupled with low residence times it is hypothesized that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proofErr w:type="gramStart"/>
      <w:r w:rsidRPr="00A73537">
        <w:rPr>
          <w:rFonts w:ascii="Times New Roman" w:hAnsi="Times New Roman" w:cs="Times New Roman"/>
          <w:sz w:val="24"/>
          <w:szCs w:val="24"/>
        </w:rPr>
        <w:t>patterns</w:t>
      </w:r>
      <w:proofErr w:type="gramEnd"/>
      <w:r w:rsidRPr="00A73537">
        <w:rPr>
          <w:rFonts w:ascii="Times New Roman" w:hAnsi="Times New Roman" w:cs="Times New Roman"/>
          <w:sz w:val="24"/>
          <w:szCs w:val="24"/>
        </w:rPr>
        <w:t xml:space="preserve"> in the GTM estuary over two decades would exhibit low inter- and intra-annual variability. However, as is common around the coastal US, there has been a significant increase in coastal population density pressure in the region (Kyzar et al. 2021). Coupled with the changes in the watershed, increases in chlorophyll </w:t>
      </w:r>
      <w:proofErr w:type="gramStart"/>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concentrations</w:t>
      </w:r>
      <w:proofErr w:type="gramEnd"/>
      <w:r w:rsidRPr="00A73537">
        <w:rPr>
          <w:rFonts w:ascii="Times New Roman" w:hAnsi="Times New Roman" w:cs="Times New Roman"/>
          <w:sz w:val="24"/>
          <w:szCs w:val="24"/>
        </w:rPr>
        <w:t xml:space="preserve"> are expected over time.</w:t>
      </w:r>
    </w:p>
    <w:p w14:paraId="758E60BC"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0" w:name="methods"/>
      <w:r w:rsidRPr="00A73537">
        <w:rPr>
          <w:rFonts w:ascii="Times New Roman" w:hAnsi="Times New Roman" w:cs="Times New Roman"/>
          <w:sz w:val="24"/>
          <w:szCs w:val="24"/>
        </w:rPr>
        <w:t>Methods</w:t>
      </w:r>
    </w:p>
    <w:p w14:paraId="722204C7"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1" w:name="study-area"/>
      <w:r w:rsidRPr="00A73537">
        <w:rPr>
          <w:rFonts w:ascii="Times New Roman" w:hAnsi="Times New Roman" w:cs="Times New Roman"/>
          <w:sz w:val="24"/>
          <w:szCs w:val="24"/>
        </w:rPr>
        <w:t>Study Area</w:t>
      </w:r>
    </w:p>
    <w:p w14:paraId="1E1E497F" w14:textId="77777777" w:rsidR="00681769" w:rsidRPr="00A73537" w:rsidRDefault="00000000" w:rsidP="003B101C">
      <w:pPr>
        <w:pStyle w:val="FirstParagraph"/>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The SWMP of the GTMNERR operates and maintains four water quality stations equipped with YSI EXO2 sondes, deployed within one meter of the bottom, that record environmental parameters (</w:t>
      </w:r>
      <w:proofErr w:type="gramStart"/>
      <w:r w:rsidRPr="00A73537">
        <w:rPr>
          <w:rFonts w:ascii="Times New Roman" w:hAnsi="Times New Roman" w:cs="Times New Roman"/>
          <w:sz w:val="24"/>
          <w:szCs w:val="24"/>
        </w:rPr>
        <w:t>e.g.</w:t>
      </w:r>
      <w:proofErr w:type="gramEnd"/>
      <w:r w:rsidRPr="00A73537">
        <w:rPr>
          <w:rFonts w:ascii="Times New Roman" w:hAnsi="Times New Roman" w:cs="Times New Roman"/>
          <w:sz w:val="24"/>
          <w:szCs w:val="24"/>
        </w:rPr>
        <w:t xml:space="preserve"> temperature, salinity) every </w:t>
      </w:r>
      <w:proofErr w:type="gramStart"/>
      <w:r w:rsidRPr="00A73537">
        <w:rPr>
          <w:rFonts w:ascii="Times New Roman" w:hAnsi="Times New Roman" w:cs="Times New Roman"/>
          <w:sz w:val="24"/>
          <w:szCs w:val="24"/>
        </w:rPr>
        <w:t>15-minutes</w:t>
      </w:r>
      <w:proofErr w:type="gramEnd"/>
      <w:r w:rsidRPr="00A73537">
        <w:rPr>
          <w:rFonts w:ascii="Times New Roman" w:hAnsi="Times New Roman" w:cs="Times New Roman"/>
          <w:sz w:val="24"/>
          <w:szCs w:val="24"/>
        </w:rPr>
        <w:t xml:space="preserve">. It is at these stations in which monthly water samples are collected during an ebb tide for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and a suite of other parameters such as nitrogens, phosphorus, bacteria, and total suspended solids.</w:t>
      </w:r>
    </w:p>
    <w:p w14:paraId="0AF642B7" w14:textId="77777777" w:rsidR="00681769" w:rsidRPr="00A73537" w:rsidRDefault="00000000" w:rsidP="003B101C">
      <w:pPr>
        <w:pStyle w:val="BodyText"/>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Established in 2002, the station locations were selected to represent the influence of watersheds with varying degrees of urban development and reflect a diversity of physical processes (e.g., tidal exchange, freshwater input) and climatic conditions. Pine Island (PI) is located </w:t>
      </w:r>
      <w:proofErr w:type="gramStart"/>
      <w:r w:rsidRPr="00A73537">
        <w:rPr>
          <w:rFonts w:ascii="Times New Roman" w:hAnsi="Times New Roman" w:cs="Times New Roman"/>
          <w:sz w:val="24"/>
          <w:szCs w:val="24"/>
        </w:rPr>
        <w:t>off of</w:t>
      </w:r>
      <w:proofErr w:type="gramEnd"/>
      <w:r w:rsidRPr="00A73537">
        <w:rPr>
          <w:rFonts w:ascii="Times New Roman" w:hAnsi="Times New Roman" w:cs="Times New Roman"/>
          <w:sz w:val="24"/>
          <w:szCs w:val="24"/>
        </w:rPr>
        <w:t xml:space="preserve"> channel marker 25 in the Tolomato River surrounded by silviculture-dominated uplands in the northern portion of the GTM estuary. The Guana River runs parallel to the Tolomato on the </w:t>
      </w:r>
      <w:r w:rsidRPr="00A73537">
        <w:rPr>
          <w:rFonts w:ascii="Times New Roman" w:hAnsi="Times New Roman" w:cs="Times New Roman"/>
          <w:sz w:val="24"/>
          <w:szCs w:val="24"/>
        </w:rPr>
        <w:lastRenderedPageBreak/>
        <w:t>seaward side, with the two lagoons joining 11.3-km north of the St. Augustine Inlet, approximately X-km south of the PI station. The Tolomato River Basin converges with the Matanzas River and Salt Run from the south before flowing into the Atlantic Ocean at the St. Augustine Inlet.</w:t>
      </w:r>
    </w:p>
    <w:p w14:paraId="246A1516" w14:textId="77777777" w:rsidR="00681769" w:rsidRPr="00A73537" w:rsidRDefault="00000000" w:rsidP="003B101C">
      <w:pPr>
        <w:pStyle w:val="BodyText"/>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San Sebastian (SS) is located at the confluence of the San Sebastian and Matanzas Rivers. The San Sebastian River drains an urbanized watershed in the western portion of St. Augustine. The Matanzas River estuary is approximately 32 km in length and extends 13 km south of the Matanzas Inlet. The tidal node within the Matanzas is located around the CR-206 bridge with waters flowing northward of the bridge and southward of the bridge at outgoing tides. Fort Matanzas (FM) is located at Channel Marker 75 approximately 4-km north of the Matanzas Inlet.</w:t>
      </w:r>
    </w:p>
    <w:p w14:paraId="14B7C616" w14:textId="77777777" w:rsidR="00681769" w:rsidRPr="00A73537" w:rsidRDefault="00000000" w:rsidP="003B101C">
      <w:pPr>
        <w:pStyle w:val="BodyText"/>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Pellicer Creek </w:t>
      </w:r>
      <w:proofErr w:type="gramStart"/>
      <w:r w:rsidRPr="00A73537">
        <w:rPr>
          <w:rFonts w:ascii="Times New Roman" w:hAnsi="Times New Roman" w:cs="Times New Roman"/>
          <w:sz w:val="24"/>
          <w:szCs w:val="24"/>
        </w:rPr>
        <w:t>is located in</w:t>
      </w:r>
      <w:proofErr w:type="gramEnd"/>
      <w:r w:rsidRPr="00A73537">
        <w:rPr>
          <w:rFonts w:ascii="Times New Roman" w:hAnsi="Times New Roman" w:cs="Times New Roman"/>
          <w:sz w:val="24"/>
          <w:szCs w:val="24"/>
        </w:rPr>
        <w:t xml:space="preserve"> the southern part of the Matanzas River Basin, serves as a border between St. Johns and Flagler counties, and is surrounded by public conservation lands. Pellicer Creek is a tidal creek and is the primary source of natural freshwater drainage into the Matanzas River. SJRWMD collects in the mouth of Pellicer Creek near Marineland, Florida. The Pellicer Creek water quality station (PC) is at the end of a recreational dock in </w:t>
      </w:r>
      <w:proofErr w:type="gramStart"/>
      <w:r w:rsidRPr="00A73537">
        <w:rPr>
          <w:rFonts w:ascii="Times New Roman" w:hAnsi="Times New Roman" w:cs="Times New Roman"/>
          <w:sz w:val="24"/>
          <w:szCs w:val="24"/>
        </w:rPr>
        <w:t>Faver-Dykes</w:t>
      </w:r>
      <w:proofErr w:type="gramEnd"/>
      <w:r w:rsidRPr="00A73537">
        <w:rPr>
          <w:rFonts w:ascii="Times New Roman" w:hAnsi="Times New Roman" w:cs="Times New Roman"/>
          <w:sz w:val="24"/>
          <w:szCs w:val="24"/>
        </w:rPr>
        <w:t xml:space="preserve"> State Park located within the Pellicer Creek Aquatic Preserve.</w:t>
      </w:r>
    </w:p>
    <w:p w14:paraId="6936EC58"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2" w:name="field-and-laboratory-procedures"/>
      <w:bookmarkEnd w:id="1"/>
      <w:r w:rsidRPr="00A73537">
        <w:rPr>
          <w:rFonts w:ascii="Times New Roman" w:hAnsi="Times New Roman" w:cs="Times New Roman"/>
          <w:sz w:val="24"/>
          <w:szCs w:val="24"/>
        </w:rPr>
        <w:t>Field and Laboratory Procedures</w:t>
      </w:r>
    </w:p>
    <w:p w14:paraId="7B15C834" w14:textId="77777777" w:rsidR="00681769" w:rsidRPr="00A73537" w:rsidRDefault="00000000" w:rsidP="003B101C">
      <w:pPr>
        <w:pStyle w:val="FirstParagraph"/>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All chlorophyll </w:t>
      </w:r>
      <w:proofErr w:type="gramStart"/>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w:t>
      </w:r>
      <w:proofErr w:type="gramEnd"/>
      <w:r w:rsidRPr="00A73537">
        <w:rPr>
          <w:rFonts w:ascii="Times New Roman" w:hAnsi="Times New Roman" w:cs="Times New Roman"/>
          <w:sz w:val="24"/>
          <w:szCs w:val="24"/>
        </w:rPr>
        <w:t xml:space="preserve"> were “grab” samples except for Pellicer Creek in which some missing data values were filled in with data collected at similar time frames using an automated water sampler. This diel sampling is also performed by the SWMP on the same tidal stage at the Pellicer Creek station. All samples were collected monthly, in duplicate, from as close to </w:t>
      </w:r>
      <w:proofErr w:type="gramStart"/>
      <w:r w:rsidRPr="00A73537">
        <w:rPr>
          <w:rFonts w:ascii="Times New Roman" w:hAnsi="Times New Roman" w:cs="Times New Roman"/>
          <w:sz w:val="24"/>
          <w:szCs w:val="24"/>
        </w:rPr>
        <w:t>sonde</w:t>
      </w:r>
      <w:proofErr w:type="gramEnd"/>
      <w:r w:rsidRPr="00A73537">
        <w:rPr>
          <w:rFonts w:ascii="Times New Roman" w:hAnsi="Times New Roman" w:cs="Times New Roman"/>
          <w:sz w:val="24"/>
          <w:szCs w:val="24"/>
        </w:rPr>
        <w:t xml:space="preserve"> depth as possible (no deeper than 3 meters in the deeper sites). Samples were filtered in the field </w:t>
      </w:r>
      <w:r w:rsidRPr="00A73537">
        <w:rPr>
          <w:rFonts w:ascii="Times New Roman" w:hAnsi="Times New Roman" w:cs="Times New Roman"/>
          <w:sz w:val="24"/>
          <w:szCs w:val="24"/>
        </w:rPr>
        <w:lastRenderedPageBreak/>
        <w:t xml:space="preserve">whenever feasible; otherwise, they were placed on ice in the dark and filtered immediately upon returning to the laboratory. All chlorophyll </w:t>
      </w:r>
      <w:proofErr w:type="gramStart"/>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samples</w:t>
      </w:r>
      <w:proofErr w:type="gramEnd"/>
      <w:r w:rsidRPr="00A73537">
        <w:rPr>
          <w:rFonts w:ascii="Times New Roman" w:hAnsi="Times New Roman" w:cs="Times New Roman"/>
          <w:sz w:val="24"/>
          <w:szCs w:val="24"/>
        </w:rPr>
        <w:t xml:space="preserve"> were performed using Standard Methods (SM10200H). All duplicate values were averaged into a monthly value at all sites. Temperature (°C) and salinity (practical salinity units, psu) data from each site was averaged to each month. Data was removed that failed to meet quality standards for all parameters. For the SWMP, values below the nominal base minimum detection limit of 0.55 (µg\L) were replaced with this nominal base to standardize across the dataset.</w:t>
      </w:r>
    </w:p>
    <w:p w14:paraId="0DAE63BC"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3" w:name="climate-data"/>
      <w:bookmarkEnd w:id="2"/>
      <w:r w:rsidRPr="00A73537">
        <w:rPr>
          <w:rFonts w:ascii="Times New Roman" w:hAnsi="Times New Roman" w:cs="Times New Roman"/>
          <w:sz w:val="24"/>
          <w:szCs w:val="24"/>
        </w:rPr>
        <w:t>Climate Data</w:t>
      </w:r>
    </w:p>
    <w:p w14:paraId="7634EC0D" w14:textId="77777777" w:rsidR="00681769" w:rsidRPr="00A73537" w:rsidRDefault="00000000" w:rsidP="003B101C">
      <w:pPr>
        <w:pStyle w:val="FirstParagraph"/>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Continuous meteorological data is also collected by the GTMNERR SWMP at the Pellicer Creek weather station, approximately 4 km southeast of the Pellicer Creek water quality station, at the mouth of Pellicer Creek in Princess Place Preserve in Flagler County. Rainfall (mm) data were totalled for each month and year after removing data that failed to meet quality standards. Information on El Niño/Southern Oscillation (ENSO) was downloaded from the National Oceanic and Atmospheric Administration’s Pacific Coast Laboratory (https://psl.noaa.gov/enso/mei/). The Multivariate ENSO Index (MEI) is based on multiple variables that are used to describe conditions in the tropical Pacific during ENSO events. This index is computed for 12 bimonthly rolling windows per year. This rolling window was summed to the following month (representing preceding and existing conditions) and was used to examine climate patterns during this study period.</w:t>
      </w:r>
    </w:p>
    <w:p w14:paraId="675096DF"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4" w:name="data-analysis"/>
      <w:bookmarkEnd w:id="3"/>
      <w:r w:rsidRPr="00A73537">
        <w:rPr>
          <w:rFonts w:ascii="Times New Roman" w:hAnsi="Times New Roman" w:cs="Times New Roman"/>
          <w:sz w:val="24"/>
          <w:szCs w:val="24"/>
        </w:rPr>
        <w:t>Data analysis</w:t>
      </w:r>
    </w:p>
    <w:p w14:paraId="19B8D570" w14:textId="64284A2A" w:rsidR="00681769" w:rsidRDefault="00000000" w:rsidP="003B101C">
      <w:pPr>
        <w:pStyle w:val="FirstParagraph"/>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All statistical analyses and data visualizations were carried out using R v4.3.0 (R Core Team 2023). Generalized additive models on log10-transformed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were performed for </w:t>
      </w:r>
      <w:r w:rsidRPr="00A73537">
        <w:rPr>
          <w:rFonts w:ascii="Times New Roman" w:hAnsi="Times New Roman" w:cs="Times New Roman"/>
          <w:sz w:val="24"/>
          <w:szCs w:val="24"/>
        </w:rPr>
        <w:lastRenderedPageBreak/>
        <w:t xml:space="preserve">each station using the </w:t>
      </w:r>
      <w:r w:rsidRPr="00A73537">
        <w:rPr>
          <w:rStyle w:val="VerbatimChar"/>
          <w:rFonts w:ascii="Times New Roman" w:hAnsi="Times New Roman" w:cs="Times New Roman"/>
          <w:sz w:val="24"/>
          <w:szCs w:val="24"/>
        </w:rPr>
        <w:t>wqtrends</w:t>
      </w:r>
      <w:r w:rsidRPr="00A73537">
        <w:rPr>
          <w:rFonts w:ascii="Times New Roman" w:hAnsi="Times New Roman" w:cs="Times New Roman"/>
          <w:sz w:val="24"/>
          <w:szCs w:val="24"/>
        </w:rPr>
        <w:t xml:space="preserve"> package with terms </w:t>
      </w:r>
      <w:r w:rsidRPr="00A73537">
        <w:rPr>
          <w:rFonts w:ascii="Times New Roman" w:hAnsi="Times New Roman" w:cs="Times New Roman"/>
          <w:i/>
          <w:iCs/>
          <w:sz w:val="24"/>
          <w:szCs w:val="24"/>
        </w:rPr>
        <w:t>s</w:t>
      </w:r>
      <w:r w:rsidRPr="00A73537">
        <w:rPr>
          <w:rFonts w:ascii="Times New Roman" w:hAnsi="Times New Roman" w:cs="Times New Roman"/>
          <w:sz w:val="24"/>
          <w:szCs w:val="24"/>
        </w:rPr>
        <w:t>(“cont_year”), day of the year converted into a continuous numeric variable to represent annual effect, and the upper limit of the basis complexity (</w:t>
      </w:r>
      <w:r w:rsidRPr="00A73537">
        <w:rPr>
          <w:rFonts w:ascii="Times New Roman" w:hAnsi="Times New Roman" w:cs="Times New Roman"/>
          <w:i/>
          <w:iCs/>
          <w:sz w:val="24"/>
          <w:szCs w:val="24"/>
        </w:rPr>
        <w:t>k</w:t>
      </w:r>
      <w:r w:rsidRPr="00A73537">
        <w:rPr>
          <w:rFonts w:ascii="Times New Roman" w:hAnsi="Times New Roman" w:cs="Times New Roman"/>
          <w:sz w:val="24"/>
          <w:szCs w:val="24"/>
        </w:rPr>
        <w:t xml:space="preserve">) was set to 11 times the number of years for the input data (11 * 20 = 220) (M. Beck et al. 2022; M. W. Beck et al. 2022). Diagnostic information of the model </w:t>
      </w:r>
      <w:proofErr w:type="gramStart"/>
      <w:r w:rsidRPr="00A73537">
        <w:rPr>
          <w:rFonts w:ascii="Times New Roman" w:hAnsi="Times New Roman" w:cs="Times New Roman"/>
          <w:sz w:val="24"/>
          <w:szCs w:val="24"/>
        </w:rPr>
        <w:t>fit</w:t>
      </w:r>
      <w:proofErr w:type="gramEnd"/>
      <w:r w:rsidRPr="00A73537">
        <w:rPr>
          <w:rFonts w:ascii="Times New Roman" w:hAnsi="Times New Roman" w:cs="Times New Roman"/>
          <w:sz w:val="24"/>
          <w:szCs w:val="24"/>
        </w:rPr>
        <w:t xml:space="preserve"> and procedure were checked using the </w:t>
      </w:r>
      <w:r w:rsidRPr="00A73537">
        <w:rPr>
          <w:rStyle w:val="VerbatimChar"/>
          <w:rFonts w:ascii="Times New Roman" w:hAnsi="Times New Roman" w:cs="Times New Roman"/>
          <w:sz w:val="24"/>
          <w:szCs w:val="24"/>
        </w:rPr>
        <w:t>mgcv</w:t>
      </w:r>
      <w:r w:rsidRPr="00A73537">
        <w:rPr>
          <w:rFonts w:ascii="Times New Roman" w:hAnsi="Times New Roman" w:cs="Times New Roman"/>
          <w:sz w:val="24"/>
          <w:szCs w:val="24"/>
        </w:rPr>
        <w:t xml:space="preserve"> package (Wood 2011). These models computed a smooth temporal pattern in the raw data with an uncertainty of the smoother. The model results were then used to calculate seasonal metrics, trends, and plot results. The predicted values from the model results were also used to fill in data, by creating monthly averages, for missing months at each of the stations (CITE SUPPLEMENTAL MISSING DATA INFORMATION HERE) to complete the time series for decomposition to further investigate patterns and scales of variability using </w:t>
      </w:r>
      <w:r w:rsidR="003B101C">
        <w:rPr>
          <w:rFonts w:ascii="Times New Roman" w:hAnsi="Times New Roman" w:cs="Times New Roman"/>
          <w:sz w:val="24"/>
          <w:szCs w:val="24"/>
        </w:rPr>
        <w:t>Equation 4</w:t>
      </w:r>
      <w:r w:rsidRPr="00A73537">
        <w:rPr>
          <w:rFonts w:ascii="Times New Roman" w:hAnsi="Times New Roman" w:cs="Times New Roman"/>
          <w:sz w:val="24"/>
          <w:szCs w:val="24"/>
        </w:rPr>
        <w:t xml:space="preserve"> from 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w:t>
      </w:r>
      <w:r w:rsidR="003B101C">
        <w:rPr>
          <w:rFonts w:ascii="Times New Roman" w:hAnsi="Times New Roman" w:cs="Times New Roman"/>
          <w:sz w:val="24"/>
          <w:szCs w:val="24"/>
        </w:rPr>
        <w:t>(2010) (Equation 1</w:t>
      </w:r>
      <w:r w:rsidRPr="00A73537">
        <w:rPr>
          <w:rFonts w:ascii="Times New Roman" w:hAnsi="Times New Roman" w:cs="Times New Roman"/>
          <w:sz w:val="24"/>
          <w:szCs w:val="24"/>
        </w:rPr>
        <w:t>).</w:t>
      </w:r>
    </w:p>
    <w:p w14:paraId="255E2337" w14:textId="6F2645E0" w:rsidR="003B101C" w:rsidRDefault="003B101C" w:rsidP="003B101C">
      <w:pPr>
        <w:pStyle w:val="BodyText"/>
        <w:jc w:val="center"/>
        <w:rPr>
          <w:sz w:val="24"/>
          <w:szCs w:val="24"/>
        </w:rPr>
      </w:pPr>
      <w:r>
        <w:t>Equation 1:</w:t>
      </w:r>
      <w:r>
        <w:tab/>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p>
    <w:p w14:paraId="01F0A4AF" w14:textId="4937AC5A" w:rsidR="001E5E1D" w:rsidRPr="001E5E1D" w:rsidRDefault="001E5E1D" w:rsidP="001E5E1D">
      <w:pPr>
        <w:pStyle w:val="BodyText"/>
        <w:spacing w:line="480" w:lineRule="auto"/>
        <w:jc w:val="left"/>
        <w:rPr>
          <w:rFonts w:ascii="Times New Roman" w:hAnsi="Times New Roman" w:cs="Times New Roman"/>
          <w:sz w:val="24"/>
          <w:szCs w:val="24"/>
        </w:rPr>
      </w:pPr>
      <w:r>
        <w:rPr>
          <w:rFonts w:ascii="Times New Roman" w:hAnsi="Times New Roman" w:cs="Times New Roman"/>
        </w:rPr>
        <w:t>This m</w:t>
      </w:r>
      <w:r w:rsidR="003B101C" w:rsidRPr="001E5E1D">
        <w:rPr>
          <w:rFonts w:ascii="Times New Roman" w:hAnsi="Times New Roman" w:cs="Times New Roman"/>
        </w:rPr>
        <w:t xml:space="preserve">ultiplicative seasonal model </w:t>
      </w:r>
      <w:r>
        <w:rPr>
          <w:rFonts w:ascii="Times New Roman" w:hAnsi="Times New Roman" w:cs="Times New Roman"/>
        </w:rPr>
        <w:t>partitions variability into three components in addition to the long-term mean w</w:t>
      </w:r>
      <w:r w:rsidR="003B101C" w:rsidRPr="001E5E1D">
        <w:rPr>
          <w:rFonts w:ascii="Times New Roman" w:hAnsi="Times New Roman" w:cs="Times New Roman"/>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003B101C" w:rsidRPr="001E5E1D">
        <w:rPr>
          <w:rFonts w:ascii="Times New Roman" w:hAnsi="Times New Roman" w:cs="Times New Roman"/>
          <w:sz w:val="24"/>
          <w:szCs w:val="24"/>
        </w:rPr>
        <w:t xml:space="preserve"> is the chlorophyll concentration in year </w:t>
      </w:r>
      <w:proofErr w:type="spellStart"/>
      <w:r w:rsidR="003B101C" w:rsidRPr="001E5E1D">
        <w:rPr>
          <w:rFonts w:ascii="Times New Roman" w:hAnsi="Times New Roman" w:cs="Times New Roman"/>
          <w:i/>
          <w:iCs/>
          <w:sz w:val="24"/>
          <w:szCs w:val="24"/>
        </w:rPr>
        <w:t>i</w:t>
      </w:r>
      <w:proofErr w:type="spellEnd"/>
      <w:r w:rsidR="003B101C" w:rsidRPr="001E5E1D">
        <w:rPr>
          <w:rFonts w:ascii="Times New Roman" w:hAnsi="Times New Roman" w:cs="Times New Roman"/>
          <w:i/>
          <w:iCs/>
          <w:sz w:val="24"/>
          <w:szCs w:val="24"/>
        </w:rPr>
        <w:t xml:space="preserve"> </w:t>
      </w:r>
      <w:r w:rsidR="003B101C" w:rsidRPr="001E5E1D">
        <w:rPr>
          <w:rFonts w:ascii="Times New Roman" w:hAnsi="Times New Roman" w:cs="Times New Roman"/>
          <w:sz w:val="24"/>
          <w:szCs w:val="24"/>
        </w:rPr>
        <w:t>(</w:t>
      </w:r>
      <w:proofErr w:type="spellStart"/>
      <w:r w:rsidR="003B101C" w:rsidRPr="001E5E1D">
        <w:rPr>
          <w:rFonts w:ascii="Times New Roman" w:hAnsi="Times New Roman" w:cs="Times New Roman"/>
          <w:i/>
          <w:iCs/>
          <w:sz w:val="24"/>
          <w:szCs w:val="24"/>
        </w:rPr>
        <w:t>i</w:t>
      </w:r>
      <w:proofErr w:type="spellEnd"/>
      <w:r w:rsidR="003B101C" w:rsidRPr="001E5E1D">
        <w:rPr>
          <w:rFonts w:ascii="Times New Roman" w:hAnsi="Times New Roman" w:cs="Times New Roman"/>
          <w:sz w:val="24"/>
          <w:szCs w:val="24"/>
        </w:rPr>
        <w:t xml:space="preserve">=1,…,N) and month </w:t>
      </w:r>
      <w:r w:rsidR="003B101C" w:rsidRPr="001E5E1D">
        <w:rPr>
          <w:rFonts w:ascii="Times New Roman" w:hAnsi="Times New Roman" w:cs="Times New Roman"/>
          <w:i/>
          <w:iCs/>
          <w:sz w:val="24"/>
          <w:szCs w:val="24"/>
        </w:rPr>
        <w:t>j</w:t>
      </w:r>
      <w:r w:rsidR="003B101C" w:rsidRPr="001E5E1D">
        <w:rPr>
          <w:rFonts w:ascii="Times New Roman" w:hAnsi="Times New Roman" w:cs="Times New Roman"/>
          <w:sz w:val="24"/>
          <w:szCs w:val="24"/>
        </w:rPr>
        <w:t xml:space="preserve"> (</w:t>
      </w:r>
      <w:r w:rsidR="003B101C" w:rsidRPr="001E5E1D">
        <w:rPr>
          <w:rFonts w:ascii="Times New Roman" w:hAnsi="Times New Roman" w:cs="Times New Roman"/>
          <w:i/>
          <w:iCs/>
          <w:sz w:val="24"/>
          <w:szCs w:val="24"/>
        </w:rPr>
        <w:t>j</w:t>
      </w:r>
      <w:r w:rsidR="003B101C" w:rsidRPr="001E5E1D">
        <w:rPr>
          <w:rFonts w:ascii="Times New Roman" w:hAnsi="Times New Roman" w:cs="Times New Roman"/>
          <w:sz w:val="24"/>
          <w:szCs w:val="24"/>
        </w:rPr>
        <w:t xml:space="preserve"> = 1,…,12); </w:t>
      </w:r>
      <w:r w:rsidR="003B101C" w:rsidRPr="001E5E1D">
        <w:rPr>
          <w:rFonts w:ascii="Times New Roman" w:hAnsi="Times New Roman" w:cs="Times New Roman"/>
          <w:i/>
          <w:iCs/>
          <w:sz w:val="24"/>
          <w:szCs w:val="24"/>
        </w:rPr>
        <w:t>C</w:t>
      </w:r>
      <w:r w:rsidR="003B101C" w:rsidRPr="001E5E1D">
        <w:rPr>
          <w:rFonts w:ascii="Times New Roman" w:hAnsi="Times New Roman" w:cs="Times New Roman"/>
          <w:sz w:val="24"/>
          <w:szCs w:val="24"/>
        </w:rPr>
        <w:t xml:space="preserve"> is the long-term mean of the series; </w:t>
      </w:r>
      <w:proofErr w:type="spellStart"/>
      <w:r w:rsidR="003B101C" w:rsidRPr="001E5E1D">
        <w:rPr>
          <w:rFonts w:ascii="Times New Roman" w:hAnsi="Times New Roman" w:cs="Times New Roman"/>
          <w:i/>
          <w:iCs/>
          <w:sz w:val="24"/>
          <w:szCs w:val="24"/>
        </w:rPr>
        <w:t>y</w:t>
      </w:r>
      <w:r w:rsidR="003B101C" w:rsidRPr="001E5E1D">
        <w:rPr>
          <w:rFonts w:ascii="Times New Roman" w:hAnsi="Times New Roman" w:cs="Times New Roman"/>
          <w:i/>
          <w:iCs/>
          <w:sz w:val="24"/>
          <w:szCs w:val="24"/>
          <w:vertAlign w:val="subscript"/>
        </w:rPr>
        <w:t>i</w:t>
      </w:r>
      <w:proofErr w:type="spellEnd"/>
      <w:r w:rsidR="003B101C" w:rsidRPr="001E5E1D">
        <w:rPr>
          <w:rFonts w:ascii="Times New Roman" w:hAnsi="Times New Roman" w:cs="Times New Roman"/>
          <w:sz w:val="24"/>
          <w:szCs w:val="24"/>
        </w:rPr>
        <w:t xml:space="preserve"> is the annual effect in the </w:t>
      </w:r>
      <w:proofErr w:type="spellStart"/>
      <w:r w:rsidR="003B101C" w:rsidRPr="001E5E1D">
        <w:rPr>
          <w:rFonts w:ascii="Times New Roman" w:hAnsi="Times New Roman" w:cs="Times New Roman"/>
          <w:i/>
          <w:iCs/>
          <w:sz w:val="24"/>
          <w:szCs w:val="24"/>
        </w:rPr>
        <w:t>i</w:t>
      </w:r>
      <w:r w:rsidR="003B101C" w:rsidRPr="001E5E1D">
        <w:rPr>
          <w:rFonts w:ascii="Times New Roman" w:hAnsi="Times New Roman" w:cs="Times New Roman"/>
          <w:sz w:val="24"/>
          <w:szCs w:val="24"/>
        </w:rPr>
        <w:t>th</w:t>
      </w:r>
      <w:proofErr w:type="spellEnd"/>
      <w:r w:rsidR="003B101C" w:rsidRPr="001E5E1D">
        <w:rPr>
          <w:rFonts w:ascii="Times New Roman" w:hAnsi="Times New Roman" w:cs="Times New Roman"/>
          <w:sz w:val="24"/>
          <w:szCs w:val="24"/>
        </w:rPr>
        <w:t xml:space="preserve"> year; </w:t>
      </w:r>
      <w:proofErr w:type="spellStart"/>
      <w:r w:rsidR="003B101C" w:rsidRPr="001E5E1D">
        <w:rPr>
          <w:rFonts w:ascii="Times New Roman" w:hAnsi="Times New Roman" w:cs="Times New Roman"/>
          <w:i/>
          <w:iCs/>
          <w:sz w:val="24"/>
          <w:szCs w:val="24"/>
        </w:rPr>
        <w:t>m</w:t>
      </w:r>
      <w:r w:rsidR="003B101C" w:rsidRPr="001E5E1D">
        <w:rPr>
          <w:rFonts w:ascii="Times New Roman" w:hAnsi="Times New Roman" w:cs="Times New Roman"/>
          <w:i/>
          <w:iCs/>
          <w:sz w:val="24"/>
          <w:szCs w:val="24"/>
          <w:vertAlign w:val="subscript"/>
        </w:rPr>
        <w:t>j</w:t>
      </w:r>
      <w:proofErr w:type="spellEnd"/>
      <w:r w:rsidR="003B101C" w:rsidRPr="001E5E1D">
        <w:rPr>
          <w:rFonts w:ascii="Times New Roman" w:hAnsi="Times New Roman" w:cs="Times New Roman"/>
          <w:sz w:val="24"/>
          <w:szCs w:val="24"/>
        </w:rPr>
        <w:t xml:space="preserve"> is the seasonal (monthly) effect in the </w:t>
      </w:r>
      <w:proofErr w:type="spellStart"/>
      <w:r w:rsidR="003B101C" w:rsidRPr="001E5E1D">
        <w:rPr>
          <w:rFonts w:ascii="Times New Roman" w:hAnsi="Times New Roman" w:cs="Times New Roman"/>
          <w:i/>
          <w:iCs/>
          <w:sz w:val="24"/>
          <w:szCs w:val="24"/>
        </w:rPr>
        <w:t>j</w:t>
      </w:r>
      <w:r w:rsidR="003B101C" w:rsidRPr="001E5E1D">
        <w:rPr>
          <w:rFonts w:ascii="Times New Roman" w:hAnsi="Times New Roman" w:cs="Times New Roman"/>
          <w:sz w:val="24"/>
          <w:szCs w:val="24"/>
        </w:rPr>
        <w:t>th</w:t>
      </w:r>
      <w:proofErr w:type="spellEnd"/>
      <w:r w:rsidR="003B101C" w:rsidRPr="001E5E1D">
        <w:rPr>
          <w:rFonts w:ascii="Times New Roman" w:hAnsi="Times New Roman" w:cs="Times New Roman"/>
          <w:sz w:val="24"/>
          <w:szCs w:val="24"/>
        </w:rPr>
        <w:t xml:space="preserve"> month</w:t>
      </w:r>
      <w:r w:rsidRPr="001E5E1D">
        <w:rPr>
          <w:rFonts w:ascii="Times New Roman" w:hAnsi="Times New Roman" w:cs="Times New Roman"/>
          <w:sz w:val="24"/>
          <w:szCs w:val="24"/>
        </w:rPr>
        <w:t xml:space="preserve">; </w:t>
      </w:r>
      <w:r w:rsidR="003B101C" w:rsidRPr="001E5E1D">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sidRPr="001E5E1D">
        <w:rPr>
          <w:rFonts w:ascii="Times New Roman" w:hAnsi="Times New Roman" w:cs="Times New Roman"/>
          <w:sz w:val="24"/>
          <w:szCs w:val="24"/>
        </w:rPr>
        <w:t xml:space="preserve"> is the residual.</w:t>
      </w:r>
      <w:r>
        <w:rPr>
          <w:rFonts w:ascii="Times New Roman" w:hAnsi="Times New Roman" w:cs="Times New Roman"/>
          <w:sz w:val="24"/>
          <w:szCs w:val="24"/>
        </w:rPr>
        <w:t xml:space="preserve"> As defined by Cloern and </w:t>
      </w:r>
      <w:proofErr w:type="spellStart"/>
      <w:r>
        <w:rPr>
          <w:rFonts w:ascii="Times New Roman" w:hAnsi="Times New Roman" w:cs="Times New Roman"/>
          <w:sz w:val="24"/>
          <w:szCs w:val="24"/>
        </w:rPr>
        <w:t>Jassby</w:t>
      </w:r>
      <w:proofErr w:type="spellEnd"/>
      <w:r>
        <w:rPr>
          <w:rFonts w:ascii="Times New Roman" w:hAnsi="Times New Roman" w:cs="Times New Roman"/>
          <w:sz w:val="24"/>
          <w:szCs w:val="24"/>
        </w:rPr>
        <w:t xml:space="preserve"> (2010), each of the terms measures (multiplicative) deviation of mean chlorophyll </w:t>
      </w:r>
      <w:r>
        <w:rPr>
          <w:rFonts w:ascii="Times New Roman" w:hAnsi="Times New Roman" w:cs="Times New Roman"/>
          <w:i/>
          <w:iCs/>
          <w:sz w:val="24"/>
          <w:szCs w:val="24"/>
        </w:rPr>
        <w:t>a</w:t>
      </w:r>
      <w:r>
        <w:rPr>
          <w:rFonts w:ascii="Times New Roman" w:hAnsi="Times New Roman" w:cs="Times New Roman"/>
          <w:sz w:val="24"/>
          <w:szCs w:val="24"/>
        </w:rPr>
        <w:t xml:space="preserve"> whereby values &gt;1 indicates years (</w:t>
      </w:r>
      <w:proofErr w:type="spellStart"/>
      <w:r w:rsidRPr="001E5E1D">
        <w:rPr>
          <w:rFonts w:ascii="Times New Roman" w:hAnsi="Times New Roman" w:cs="Times New Roman"/>
          <w:i/>
          <w:iCs/>
          <w:sz w:val="24"/>
          <w:szCs w:val="24"/>
        </w:rPr>
        <w:t>y</w:t>
      </w:r>
      <w:r w:rsidRPr="001E5E1D">
        <w:rPr>
          <w:rFonts w:ascii="Times New Roman" w:hAnsi="Times New Roman" w:cs="Times New Roman"/>
          <w:i/>
          <w:iCs/>
          <w:sz w:val="24"/>
          <w:szCs w:val="24"/>
          <w:vertAlign w:val="subscript"/>
        </w:rPr>
        <w:t>i</w:t>
      </w:r>
      <w:proofErr w:type="spellEnd"/>
      <w:r>
        <w:rPr>
          <w:rFonts w:ascii="Times New Roman" w:hAnsi="Times New Roman" w:cs="Times New Roman"/>
          <w:sz w:val="24"/>
          <w:szCs w:val="24"/>
        </w:rPr>
        <w:t>), months (</w:t>
      </w:r>
      <w:proofErr w:type="spellStart"/>
      <w:r w:rsidRPr="001E5E1D">
        <w:rPr>
          <w:rFonts w:ascii="Times New Roman" w:hAnsi="Times New Roman" w:cs="Times New Roman"/>
          <w:i/>
          <w:iCs/>
          <w:sz w:val="24"/>
          <w:szCs w:val="24"/>
        </w:rPr>
        <w:t>m</w:t>
      </w:r>
      <w:r w:rsidRPr="001E5E1D">
        <w:rPr>
          <w:rFonts w:ascii="Times New Roman" w:hAnsi="Times New Roman" w:cs="Times New Roman"/>
          <w:i/>
          <w:iCs/>
          <w:sz w:val="24"/>
          <w:szCs w:val="24"/>
          <w:vertAlign w:val="subscript"/>
        </w:rPr>
        <w:t>j</w:t>
      </w:r>
      <w:proofErr w:type="spellEnd"/>
      <w:r>
        <w:rPr>
          <w:rFonts w:ascii="Times New Roman" w:hAnsi="Times New Roman" w:cs="Times New Roman"/>
          <w:sz w:val="24"/>
          <w:szCs w:val="24"/>
        </w:rPr>
        <w:t>), and events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Pr>
          <w:rFonts w:ascii="Times New Roman" w:hAnsi="Times New Roman" w:cs="Times New Roman"/>
          <w:sz w:val="24"/>
          <w:szCs w:val="24"/>
        </w:rPr>
        <w:t xml:space="preserve">) with above average mean chlorophyll </w:t>
      </w:r>
      <w:r>
        <w:rPr>
          <w:rFonts w:ascii="Times New Roman" w:hAnsi="Times New Roman" w:cs="Times New Roman"/>
          <w:i/>
          <w:iCs/>
          <w:sz w:val="24"/>
          <w:szCs w:val="24"/>
        </w:rPr>
        <w:t>a</w:t>
      </w:r>
      <w:r>
        <w:rPr>
          <w:rFonts w:ascii="Times New Roman" w:hAnsi="Times New Roman" w:cs="Times New Roman"/>
          <w:sz w:val="24"/>
          <w:szCs w:val="24"/>
        </w:rPr>
        <w:t xml:space="preserve">. Each of these components average 1 and are multipliers of </w:t>
      </w:r>
      <w:r>
        <w:rPr>
          <w:rFonts w:ascii="Times New Roman" w:hAnsi="Times New Roman" w:cs="Times New Roman"/>
          <w:i/>
          <w:iCs/>
          <w:sz w:val="24"/>
          <w:szCs w:val="24"/>
        </w:rPr>
        <w:t>C</w:t>
      </w:r>
      <w:r>
        <w:rPr>
          <w:rFonts w:ascii="Times New Roman" w:hAnsi="Times New Roman" w:cs="Times New Roman"/>
          <w:sz w:val="24"/>
          <w:szCs w:val="24"/>
        </w:rPr>
        <w:t xml:space="preserve">, so their magnitudes are independent of overall mean biomass, are comparable across sites (and ecosystems), and their standard deviations are coefficients of variation (Cloern and </w:t>
      </w:r>
      <w:proofErr w:type="spellStart"/>
      <w:r>
        <w:rPr>
          <w:rFonts w:ascii="Times New Roman" w:hAnsi="Times New Roman" w:cs="Times New Roman"/>
          <w:sz w:val="24"/>
          <w:szCs w:val="24"/>
        </w:rPr>
        <w:t>Jassby</w:t>
      </w:r>
      <w:proofErr w:type="spellEnd"/>
      <w:r>
        <w:rPr>
          <w:rFonts w:ascii="Times New Roman" w:hAnsi="Times New Roman" w:cs="Times New Roman"/>
          <w:sz w:val="24"/>
          <w:szCs w:val="24"/>
        </w:rPr>
        <w:t xml:space="preserve"> 2010). </w:t>
      </w:r>
    </w:p>
    <w:p w14:paraId="62E0D6CB" w14:textId="1CC9B9FB" w:rsidR="00681769" w:rsidRPr="00A73537" w:rsidRDefault="00000000" w:rsidP="001E5E1D">
      <w:pPr>
        <w:pStyle w:val="BodyText"/>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Seasonality was determined not only through decomposition, but also by measuring changes in phases of annual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proofErr w:type="gramStart"/>
      <w:r w:rsidRPr="00A73537">
        <w:rPr>
          <w:rFonts w:ascii="Times New Roman" w:hAnsi="Times New Roman" w:cs="Times New Roman"/>
          <w:sz w:val="24"/>
          <w:szCs w:val="24"/>
        </w:rPr>
        <w:t>cycles</w:t>
      </w:r>
      <w:proofErr w:type="gramEnd"/>
      <w:r w:rsidRPr="00A73537">
        <w:rPr>
          <w:rFonts w:ascii="Times New Roman" w:hAnsi="Times New Roman" w:cs="Times New Roman"/>
          <w:sz w:val="24"/>
          <w:szCs w:val="24"/>
        </w:rPr>
        <w:t xml:space="preserve"> using </w:t>
      </w:r>
      <w:r w:rsidRPr="00A73537">
        <w:rPr>
          <w:rStyle w:val="VerbatimChar"/>
          <w:rFonts w:ascii="Times New Roman" w:hAnsi="Times New Roman" w:cs="Times New Roman"/>
          <w:sz w:val="24"/>
          <w:szCs w:val="24"/>
        </w:rPr>
        <w:t>wql</w:t>
      </w:r>
      <w:r w:rsidRPr="00A73537">
        <w:rPr>
          <w:rFonts w:ascii="Times New Roman" w:hAnsi="Times New Roman" w:cs="Times New Roman"/>
          <w:sz w:val="24"/>
          <w:szCs w:val="24"/>
        </w:rPr>
        <w:t xml:space="preserve"> package (Jassby and Cloern 2022). As an </w:t>
      </w:r>
      <w:r w:rsidRPr="00A73537">
        <w:rPr>
          <w:rFonts w:ascii="Times New Roman" w:hAnsi="Times New Roman" w:cs="Times New Roman"/>
          <w:sz w:val="24"/>
          <w:szCs w:val="24"/>
        </w:rPr>
        <w:lastRenderedPageBreak/>
        <w:t xml:space="preserve">indicator of peak annual biomass, </w:t>
      </w:r>
      <w:proofErr w:type="gramStart"/>
      <w:r w:rsidRPr="00A73537">
        <w:rPr>
          <w:rStyle w:val="VerbatimChar"/>
          <w:rFonts w:ascii="Times New Roman" w:hAnsi="Times New Roman" w:cs="Times New Roman"/>
          <w:sz w:val="24"/>
          <w:szCs w:val="24"/>
        </w:rPr>
        <w:t>phenoPhase(</w:t>
      </w:r>
      <w:proofErr w:type="gramEnd"/>
      <w:r w:rsidRPr="00A73537">
        <w:rPr>
          <w:rStyle w:val="VerbatimChar"/>
          <w:rFonts w:ascii="Times New Roman" w:hAnsi="Times New Roman" w:cs="Times New Roman"/>
          <w:sz w:val="24"/>
          <w:szCs w:val="24"/>
        </w:rPr>
        <w:t>)</w:t>
      </w:r>
      <w:r w:rsidRPr="00A73537">
        <w:rPr>
          <w:rFonts w:ascii="Times New Roman" w:hAnsi="Times New Roman" w:cs="Times New Roman"/>
          <w:sz w:val="24"/>
          <w:szCs w:val="24"/>
        </w:rPr>
        <w:t xml:space="preserve"> was used to calculate the fulcrum or “center of gravity” as the date each year in months when the cumulative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reached half the total annual cumulative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(Greve et al. 2005; Cloern et al. 2023). These fulcrums were then used to determine the time frame of annual peak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which was used to further test for trends in seasonal changes over time using meta-analysis with </w:t>
      </w:r>
      <w:r w:rsidRPr="00A73537">
        <w:rPr>
          <w:rStyle w:val="VerbatimChar"/>
          <w:rFonts w:ascii="Times New Roman" w:hAnsi="Times New Roman" w:cs="Times New Roman"/>
          <w:sz w:val="24"/>
          <w:szCs w:val="24"/>
        </w:rPr>
        <w:t>wqtrends</w:t>
      </w:r>
      <w:r w:rsidRPr="00A73537">
        <w:rPr>
          <w:rFonts w:ascii="Times New Roman" w:hAnsi="Times New Roman" w:cs="Times New Roman"/>
          <w:sz w:val="24"/>
          <w:szCs w:val="24"/>
        </w:rPr>
        <w:t>.</w:t>
      </w:r>
    </w:p>
    <w:p w14:paraId="669D10EC"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5" w:name="results"/>
      <w:bookmarkEnd w:id="0"/>
      <w:bookmarkEnd w:id="4"/>
      <w:r w:rsidRPr="00A73537">
        <w:rPr>
          <w:rFonts w:ascii="Times New Roman" w:hAnsi="Times New Roman" w:cs="Times New Roman"/>
          <w:sz w:val="24"/>
          <w:szCs w:val="24"/>
        </w:rPr>
        <w:t>Results</w:t>
      </w:r>
    </w:p>
    <w:p w14:paraId="329F0C25"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6" w:name="time-series-trends"/>
      <w:r w:rsidRPr="00A73537">
        <w:rPr>
          <w:rFonts w:ascii="Times New Roman" w:hAnsi="Times New Roman" w:cs="Times New Roman"/>
          <w:sz w:val="24"/>
          <w:szCs w:val="24"/>
        </w:rPr>
        <w:t>Time series trends</w:t>
      </w:r>
    </w:p>
    <w:p w14:paraId="1AA1BC30" w14:textId="52D5D361" w:rsidR="00681769" w:rsidRPr="00A73537" w:rsidRDefault="00000000" w:rsidP="00AA64C8">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Overall, the GAMs provided a good fit to the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and explained greater than 70% of deviance (range: 71 - 87%) at all sites (</w:t>
      </w:r>
      <w:r w:rsidR="00A73537" w:rsidRPr="00A73537">
        <w:rPr>
          <w:rFonts w:ascii="Times New Roman" w:hAnsi="Times New Roman" w:cs="Times New Roman"/>
          <w:sz w:val="24"/>
          <w:szCs w:val="24"/>
        </w:rPr>
        <w:t>Table 1</w:t>
      </w:r>
      <w:r w:rsidRPr="00A73537">
        <w:rPr>
          <w:rFonts w:ascii="Times New Roman" w:hAnsi="Times New Roman" w:cs="Times New Roman"/>
          <w:sz w:val="24"/>
          <w:szCs w:val="24"/>
        </w:rPr>
        <w:t xml:space="preserve">). Chlorophyll </w:t>
      </w:r>
      <w:proofErr w:type="gramStart"/>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ranges</w:t>
      </w:r>
      <w:proofErr w:type="gramEnd"/>
      <w:r w:rsidRPr="00A73537">
        <w:rPr>
          <w:rFonts w:ascii="Times New Roman" w:hAnsi="Times New Roman" w:cs="Times New Roman"/>
          <w:sz w:val="24"/>
          <w:szCs w:val="24"/>
        </w:rPr>
        <w:t xml:space="preserve"> were much higher in PC than the other sites. Only significant trends in annual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over the entire </w:t>
      </w:r>
      <w:proofErr w:type="gramStart"/>
      <w:r w:rsidRPr="00A73537">
        <w:rPr>
          <w:rFonts w:ascii="Times New Roman" w:hAnsi="Times New Roman" w:cs="Times New Roman"/>
          <w:sz w:val="24"/>
          <w:szCs w:val="24"/>
        </w:rPr>
        <w:t>time period</w:t>
      </w:r>
      <w:proofErr w:type="gramEnd"/>
      <w:r w:rsidRPr="00A73537">
        <w:rPr>
          <w:rFonts w:ascii="Times New Roman" w:hAnsi="Times New Roman" w:cs="Times New Roman"/>
          <w:sz w:val="24"/>
          <w:szCs w:val="24"/>
        </w:rPr>
        <w:t xml:space="preserve"> were detected at SS and FM, however a very clear oscillating pattern in average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was visible at all sites.</w:t>
      </w:r>
    </w:p>
    <w:p w14:paraId="49BD419F" w14:textId="5869C2E0" w:rsidR="00681769" w:rsidRDefault="00000000" w:rsidP="003B101C">
      <w:pPr>
        <w:pStyle w:val="Heading2"/>
        <w:spacing w:line="480" w:lineRule="auto"/>
        <w:jc w:val="left"/>
        <w:rPr>
          <w:rFonts w:ascii="Times New Roman" w:hAnsi="Times New Roman" w:cs="Times New Roman"/>
          <w:sz w:val="24"/>
          <w:szCs w:val="24"/>
        </w:rPr>
      </w:pPr>
      <w:bookmarkStart w:id="7" w:name="patterns-of-variation"/>
      <w:bookmarkEnd w:id="6"/>
      <w:r w:rsidRPr="00A73537">
        <w:rPr>
          <w:rFonts w:ascii="Times New Roman" w:hAnsi="Times New Roman" w:cs="Times New Roman"/>
          <w:sz w:val="24"/>
          <w:szCs w:val="24"/>
        </w:rPr>
        <w:t xml:space="preserve">Patterns </w:t>
      </w:r>
      <w:r w:rsidR="00F32A49">
        <w:rPr>
          <w:rFonts w:ascii="Times New Roman" w:hAnsi="Times New Roman" w:cs="Times New Roman"/>
          <w:sz w:val="24"/>
          <w:szCs w:val="24"/>
        </w:rPr>
        <w:t xml:space="preserve">and scales </w:t>
      </w:r>
      <w:r w:rsidRPr="00A73537">
        <w:rPr>
          <w:rFonts w:ascii="Times New Roman" w:hAnsi="Times New Roman" w:cs="Times New Roman"/>
          <w:sz w:val="24"/>
          <w:szCs w:val="24"/>
        </w:rPr>
        <w:t xml:space="preserve">of </w:t>
      </w:r>
      <w:r w:rsidR="00F32A49">
        <w:rPr>
          <w:rFonts w:ascii="Times New Roman" w:hAnsi="Times New Roman" w:cs="Times New Roman"/>
          <w:sz w:val="24"/>
          <w:szCs w:val="24"/>
        </w:rPr>
        <w:t>v</w:t>
      </w:r>
      <w:r w:rsidRPr="00A73537">
        <w:rPr>
          <w:rFonts w:ascii="Times New Roman" w:hAnsi="Times New Roman" w:cs="Times New Roman"/>
          <w:sz w:val="24"/>
          <w:szCs w:val="24"/>
        </w:rPr>
        <w:t>ariation</w:t>
      </w:r>
    </w:p>
    <w:p w14:paraId="1301DB41" w14:textId="41333009" w:rsidR="00F32A49" w:rsidRPr="002B768E" w:rsidRDefault="00F32A49" w:rsidP="00AA64C8">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Low </w:t>
      </w:r>
      <w:r w:rsidR="003B101C">
        <w:rPr>
          <w:rFonts w:ascii="Times New Roman" w:hAnsi="Times New Roman" w:cs="Times New Roman"/>
          <w:sz w:val="24"/>
          <w:szCs w:val="24"/>
        </w:rPr>
        <w:t>annual</w:t>
      </w:r>
      <w:r w:rsidR="001472BE">
        <w:rPr>
          <w:rFonts w:ascii="Times New Roman" w:hAnsi="Times New Roman" w:cs="Times New Roman"/>
          <w:sz w:val="24"/>
          <w:szCs w:val="24"/>
        </w:rPr>
        <w:t xml:space="preserve"> and seasonal</w:t>
      </w:r>
      <w:r w:rsidR="003B101C">
        <w:rPr>
          <w:rFonts w:ascii="Times New Roman" w:hAnsi="Times New Roman" w:cs="Times New Roman"/>
          <w:sz w:val="24"/>
          <w:szCs w:val="24"/>
        </w:rPr>
        <w:t xml:space="preserve"> variability was observed at all stations (Table 2)</w:t>
      </w:r>
      <w:r w:rsidR="001472BE">
        <w:rPr>
          <w:rFonts w:ascii="Times New Roman" w:hAnsi="Times New Roman" w:cs="Times New Roman"/>
          <w:sz w:val="24"/>
          <w:szCs w:val="24"/>
        </w:rPr>
        <w:t xml:space="preserve">. </w:t>
      </w:r>
      <w:r w:rsidR="009074AE">
        <w:rPr>
          <w:rFonts w:ascii="Times New Roman" w:hAnsi="Times New Roman" w:cs="Times New Roman"/>
          <w:sz w:val="24"/>
          <w:szCs w:val="24"/>
        </w:rPr>
        <w:t xml:space="preserve">All scales of variability were larger at PC than the other sites (Table 2). The largest coefficient of variation was observed at PC in the event-scale variability </w:t>
      </w:r>
      <w:r w:rsidR="001472BE">
        <w:rPr>
          <w:rFonts w:ascii="Times New Roman" w:hAnsi="Times New Roman" w:cs="Times New Roman"/>
          <w:sz w:val="24"/>
          <w:szCs w:val="24"/>
        </w:rPr>
        <w:t>(</w:t>
      </w:r>
      <w:proofErr w:type="spellStart"/>
      <w:r w:rsidR="001472BE" w:rsidRPr="00F32A49">
        <w:rPr>
          <w:rFonts w:ascii="Times New Roman" w:eastAsia="Times New Roman" w:hAnsi="Times New Roman" w:cs="Times New Roman"/>
          <w:color w:val="000000"/>
          <w:sz w:val="24"/>
          <w:szCs w:val="24"/>
        </w:rPr>
        <w:t>SD</w:t>
      </w:r>
      <w:r w:rsidR="001472BE" w:rsidRPr="00F32A49">
        <w:rPr>
          <w:rFonts w:ascii="Times New Roman" w:eastAsia="Times New Roman" w:hAnsi="Times New Roman" w:cs="Times New Roman"/>
          <w:color w:val="000000"/>
          <w:sz w:val="24"/>
          <w:szCs w:val="24"/>
          <w:vertAlign w:val="subscript"/>
        </w:rPr>
        <w:t>ɛ</w:t>
      </w:r>
      <w:proofErr w:type="spellEnd"/>
      <w:r w:rsidR="001472BE">
        <w:rPr>
          <w:rFonts w:ascii="Times New Roman" w:hAnsi="Times New Roman" w:cs="Times New Roman"/>
          <w:sz w:val="24"/>
          <w:szCs w:val="24"/>
        </w:rPr>
        <w:t xml:space="preserve"> = 0.51) (Table 2).</w:t>
      </w:r>
      <w:r w:rsidR="009074AE">
        <w:rPr>
          <w:rFonts w:ascii="Times New Roman" w:hAnsi="Times New Roman" w:cs="Times New Roman"/>
          <w:sz w:val="24"/>
          <w:szCs w:val="24"/>
        </w:rPr>
        <w:t xml:space="preserve"> PI and PC show similar patterns to one another as do SS and FM (Figures X-X). </w:t>
      </w:r>
      <w:r w:rsidR="002B768E">
        <w:rPr>
          <w:rFonts w:ascii="Times New Roman" w:hAnsi="Times New Roman" w:cs="Times New Roman"/>
          <w:sz w:val="24"/>
          <w:szCs w:val="24"/>
        </w:rPr>
        <w:t xml:space="preserve">Seasonal patterns at PI and PC show higher chlorophyll </w:t>
      </w:r>
      <w:r w:rsidR="002B768E">
        <w:rPr>
          <w:rFonts w:ascii="Times New Roman" w:hAnsi="Times New Roman" w:cs="Times New Roman"/>
          <w:i/>
          <w:iCs/>
          <w:sz w:val="24"/>
          <w:szCs w:val="24"/>
        </w:rPr>
        <w:t>a</w:t>
      </w:r>
      <w:r w:rsidR="002B768E">
        <w:rPr>
          <w:rFonts w:ascii="Times New Roman" w:hAnsi="Times New Roman" w:cs="Times New Roman"/>
          <w:sz w:val="24"/>
          <w:szCs w:val="24"/>
        </w:rPr>
        <w:t xml:space="preserve"> from April – September (Figures X-X). SS and FM show a protracted seasonal pattern extending from May – November (Figures X-X).</w:t>
      </w:r>
    </w:p>
    <w:p w14:paraId="7C8B55D6" w14:textId="77777777" w:rsidR="00681769" w:rsidRDefault="00000000" w:rsidP="003B101C">
      <w:pPr>
        <w:pStyle w:val="Heading2"/>
        <w:spacing w:line="480" w:lineRule="auto"/>
        <w:jc w:val="left"/>
        <w:rPr>
          <w:rFonts w:ascii="Times New Roman" w:hAnsi="Times New Roman" w:cs="Times New Roman"/>
          <w:sz w:val="24"/>
          <w:szCs w:val="24"/>
        </w:rPr>
      </w:pPr>
      <w:bookmarkStart w:id="8" w:name="seasonality-and-trends"/>
      <w:bookmarkEnd w:id="7"/>
      <w:r w:rsidRPr="00A73537">
        <w:rPr>
          <w:rFonts w:ascii="Times New Roman" w:hAnsi="Times New Roman" w:cs="Times New Roman"/>
          <w:sz w:val="24"/>
          <w:szCs w:val="24"/>
        </w:rPr>
        <w:t>Seasonality and trends</w:t>
      </w:r>
    </w:p>
    <w:p w14:paraId="521D793B" w14:textId="0FCDC2D3" w:rsidR="00AA64C8" w:rsidRPr="00B267BF" w:rsidRDefault="00AA64C8" w:rsidP="00B267BF">
      <w:pPr>
        <w:spacing w:line="480" w:lineRule="auto"/>
        <w:jc w:val="left"/>
        <w:rPr>
          <w:rFonts w:ascii="Times New Roman" w:hAnsi="Times New Roman" w:cs="Times New Roman"/>
        </w:rPr>
      </w:pPr>
      <w:r>
        <w:tab/>
      </w:r>
      <w:r w:rsidRPr="00B267BF">
        <w:rPr>
          <w:rFonts w:ascii="Times New Roman" w:hAnsi="Times New Roman" w:cs="Times New Roman"/>
          <w:sz w:val="24"/>
          <w:szCs w:val="24"/>
        </w:rPr>
        <w:t xml:space="preserve">Average fulcrums at all sites ranged between </w:t>
      </w:r>
      <w:r w:rsidR="006E1710" w:rsidRPr="00B267BF">
        <w:rPr>
          <w:rFonts w:ascii="Times New Roman" w:hAnsi="Times New Roman" w:cs="Times New Roman"/>
          <w:sz w:val="24"/>
          <w:szCs w:val="24"/>
        </w:rPr>
        <w:t>(</w:t>
      </w:r>
      <w:r w:rsidRPr="00B267BF">
        <w:rPr>
          <w:rFonts w:ascii="Times New Roman" w:hAnsi="Times New Roman" w:cs="Times New Roman"/>
          <w:sz w:val="24"/>
          <w:szCs w:val="24"/>
        </w:rPr>
        <w:t>6.</w:t>
      </w:r>
      <w:r w:rsidR="006E1710" w:rsidRPr="00B267BF">
        <w:rPr>
          <w:rFonts w:ascii="Times New Roman" w:hAnsi="Times New Roman" w:cs="Times New Roman"/>
          <w:sz w:val="24"/>
          <w:szCs w:val="24"/>
        </w:rPr>
        <w:t xml:space="preserve">498-6.9885) indicating peak values in chlorophyll </w:t>
      </w:r>
      <w:r w:rsidR="006E1710" w:rsidRPr="00B267BF">
        <w:rPr>
          <w:rFonts w:ascii="Times New Roman" w:hAnsi="Times New Roman" w:cs="Times New Roman"/>
          <w:i/>
          <w:iCs/>
          <w:sz w:val="24"/>
          <w:szCs w:val="24"/>
        </w:rPr>
        <w:t xml:space="preserve">a </w:t>
      </w:r>
      <w:r w:rsidR="00B267BF" w:rsidRPr="00B267BF">
        <w:rPr>
          <w:rFonts w:ascii="Times New Roman" w:hAnsi="Times New Roman" w:cs="Times New Roman"/>
          <w:sz w:val="24"/>
          <w:szCs w:val="24"/>
        </w:rPr>
        <w:t>concentration</w:t>
      </w:r>
      <w:r w:rsidR="006E1710" w:rsidRPr="00B267BF">
        <w:rPr>
          <w:rFonts w:ascii="Times New Roman" w:hAnsi="Times New Roman" w:cs="Times New Roman"/>
          <w:sz w:val="24"/>
          <w:szCs w:val="24"/>
        </w:rPr>
        <w:t xml:space="preserve"> occurring mostly in the middle to late part of June (Figure </w:t>
      </w:r>
      <w:r w:rsidR="006E1710" w:rsidRPr="00B267BF">
        <w:rPr>
          <w:rFonts w:ascii="Times New Roman" w:hAnsi="Times New Roman" w:cs="Times New Roman"/>
          <w:sz w:val="24"/>
          <w:szCs w:val="24"/>
        </w:rPr>
        <w:lastRenderedPageBreak/>
        <w:t>Fulcrums). Though statistically insignificant, all sites also exhibited a decrease in the annual fulcrum indicating a shift in earlier peak values in the year. The widest range in fulcrums occurred at PC (months 5.01 – 7.91). SS and FM had later fulcrums from months 6.24 to 8.71 (SS) and months 6.16 to 8.51 (FM). PI had an equally narrow range of fulcrums to FM (months 5.4 – 7.78). These fulcrum values mirror the patterns observed in the seasonal-scale variability (Figures X variability) where PI and PC begin earlier in the year and FM and SS extend later in the year. The range of peak biomass of all sites, between May 1 – August 15 (day 121</w:t>
      </w:r>
      <w:r w:rsidR="006E1710" w:rsidRPr="00B267BF">
        <w:rPr>
          <w:rFonts w:ascii="Times New Roman" w:hAnsi="Times New Roman" w:cs="Times New Roman"/>
          <w:sz w:val="24"/>
          <w:szCs w:val="24"/>
          <w:vertAlign w:val="superscript"/>
        </w:rPr>
        <w:t>st</w:t>
      </w:r>
      <w:r w:rsidR="006E1710" w:rsidRPr="00B267BF">
        <w:rPr>
          <w:rFonts w:ascii="Times New Roman" w:hAnsi="Times New Roman" w:cs="Times New Roman"/>
          <w:sz w:val="24"/>
          <w:szCs w:val="24"/>
        </w:rPr>
        <w:t xml:space="preserve"> – 227</w:t>
      </w:r>
      <w:r w:rsidR="006E1710" w:rsidRPr="00B267BF">
        <w:rPr>
          <w:rFonts w:ascii="Times New Roman" w:hAnsi="Times New Roman" w:cs="Times New Roman"/>
          <w:sz w:val="24"/>
          <w:szCs w:val="24"/>
          <w:vertAlign w:val="superscript"/>
        </w:rPr>
        <w:t>th</w:t>
      </w:r>
      <w:r w:rsidR="006E1710" w:rsidRPr="00B267BF">
        <w:rPr>
          <w:rFonts w:ascii="Times New Roman" w:hAnsi="Times New Roman" w:cs="Times New Roman"/>
          <w:sz w:val="24"/>
          <w:szCs w:val="24"/>
        </w:rPr>
        <w:t xml:space="preserve">), was then tested for trends at each site. </w:t>
      </w:r>
      <w:r w:rsidR="00B267BF" w:rsidRPr="00B267BF">
        <w:rPr>
          <w:rFonts w:ascii="Times New Roman" w:hAnsi="Times New Roman" w:cs="Times New Roman"/>
          <w:sz w:val="24"/>
          <w:szCs w:val="24"/>
        </w:rPr>
        <w:t>This seasonal peak biomass was found to be increasing at FM and SS, but not PC and PI (Figures XXX).</w:t>
      </w:r>
    </w:p>
    <w:p w14:paraId="01A2E73A" w14:textId="5BAD9BCD" w:rsidR="00B267BF" w:rsidRDefault="00F32A49" w:rsidP="00B267BF">
      <w:pPr>
        <w:pStyle w:val="Heading2"/>
        <w:spacing w:line="480" w:lineRule="auto"/>
        <w:jc w:val="left"/>
        <w:rPr>
          <w:rFonts w:ascii="Times New Roman" w:hAnsi="Times New Roman" w:cs="Times New Roman"/>
          <w:sz w:val="24"/>
          <w:szCs w:val="24"/>
        </w:rPr>
      </w:pPr>
      <w:r w:rsidRPr="00F32A49">
        <w:rPr>
          <w:rFonts w:ascii="Times New Roman" w:hAnsi="Times New Roman" w:cs="Times New Roman"/>
          <w:sz w:val="24"/>
          <w:szCs w:val="24"/>
        </w:rPr>
        <w:t xml:space="preserve">Correlations with </w:t>
      </w:r>
      <w:r>
        <w:rPr>
          <w:rFonts w:ascii="Times New Roman" w:hAnsi="Times New Roman" w:cs="Times New Roman"/>
          <w:sz w:val="24"/>
          <w:szCs w:val="24"/>
        </w:rPr>
        <w:t>climate variables</w:t>
      </w:r>
    </w:p>
    <w:p w14:paraId="7C680B8B" w14:textId="77777777" w:rsidR="00E35A92" w:rsidRDefault="00B267BF" w:rsidP="00B267BF">
      <w:pPr>
        <w:rPr>
          <w:rFonts w:ascii="Times New Roman" w:hAnsi="Times New Roman" w:cs="Times New Roman"/>
          <w:sz w:val="24"/>
          <w:szCs w:val="24"/>
        </w:rPr>
      </w:pPr>
      <w:r>
        <w:rPr>
          <w:rFonts w:ascii="Times New Roman" w:hAnsi="Times New Roman" w:cs="Times New Roman"/>
        </w:rPr>
        <w:tab/>
      </w:r>
      <w:r w:rsidRPr="00E35A92">
        <w:rPr>
          <w:rFonts w:ascii="Times New Roman" w:hAnsi="Times New Roman" w:cs="Times New Roman"/>
          <w:sz w:val="24"/>
          <w:szCs w:val="24"/>
        </w:rPr>
        <w:t>Water temperatures ranged from X to X</w:t>
      </w:r>
      <w:r w:rsidR="00E35A92">
        <w:rPr>
          <w:rFonts w:ascii="Times New Roman" w:hAnsi="Times New Roman" w:cs="Times New Roman"/>
          <w:sz w:val="24"/>
          <w:szCs w:val="24"/>
        </w:rPr>
        <w:t xml:space="preserve">. </w:t>
      </w:r>
    </w:p>
    <w:p w14:paraId="102D8857" w14:textId="7C3AF222" w:rsidR="00B267BF" w:rsidRPr="00B267BF" w:rsidRDefault="00B267BF" w:rsidP="00B267BF">
      <w:pPr>
        <w:rPr>
          <w:rFonts w:ascii="Times New Roman" w:hAnsi="Times New Roman" w:cs="Times New Roman"/>
        </w:rPr>
      </w:pPr>
      <w:r w:rsidRPr="00E35A92">
        <w:rPr>
          <w:rFonts w:ascii="Times New Roman" w:hAnsi="Times New Roman" w:cs="Times New Roman"/>
          <w:sz w:val="24"/>
          <w:szCs w:val="24"/>
        </w:rPr>
        <w:t xml:space="preserve"> </w:t>
      </w:r>
    </w:p>
    <w:p w14:paraId="0868F439"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9" w:name="discussion"/>
      <w:bookmarkEnd w:id="5"/>
      <w:bookmarkEnd w:id="8"/>
      <w:r w:rsidRPr="00A73537">
        <w:rPr>
          <w:rFonts w:ascii="Times New Roman" w:hAnsi="Times New Roman" w:cs="Times New Roman"/>
          <w:sz w:val="24"/>
          <w:szCs w:val="24"/>
        </w:rPr>
        <w:t>Discussion</w:t>
      </w:r>
    </w:p>
    <w:p w14:paraId="3D6DDD63" w14:textId="77777777" w:rsidR="00681769" w:rsidRPr="00A73537" w:rsidRDefault="00000000" w:rsidP="003B101C">
      <w:pPr>
        <w:pStyle w:val="FirstParagraph"/>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The last study to have performed any trend or status of the GTM estuary was performed almost 20 years ago in 2004 using monitoring data collected by the St. Johns River Water Management District (Winkler and Ceric 2004). Their assessment encompassed a suite of water quality indicators which included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At that time, the Northern Coastal Basin, which includes the GTM estuary, was found to have some of the best water quality out of all the basins in the </w:t>
      </w:r>
      <w:proofErr w:type="gramStart"/>
      <w:r w:rsidRPr="00A73537">
        <w:rPr>
          <w:rFonts w:ascii="Times New Roman" w:hAnsi="Times New Roman" w:cs="Times New Roman"/>
          <w:sz w:val="24"/>
          <w:szCs w:val="24"/>
        </w:rPr>
        <w:t>District</w:t>
      </w:r>
      <w:proofErr w:type="gramEnd"/>
      <w:r w:rsidRPr="00A73537">
        <w:rPr>
          <w:rFonts w:ascii="Times New Roman" w:hAnsi="Times New Roman" w:cs="Times New Roman"/>
          <w:sz w:val="24"/>
          <w:szCs w:val="24"/>
        </w:rPr>
        <w:t>; however, many of the sites, though deemed of good water quality, provided insufficient data (did not have at least 10 years of data) or had insignificant results for trend tests (Winkler and Ceric 2004).</w:t>
      </w:r>
    </w:p>
    <w:p w14:paraId="3AD2FF06" w14:textId="77777777" w:rsidR="00681769" w:rsidRPr="00A73537" w:rsidRDefault="00000000" w:rsidP="003B101C">
      <w:pPr>
        <w:pStyle w:val="BodyText"/>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Given the lack of recent information regarding the status of water quality or nutrients within this system, the access of a robust water quality time series, and the continued increase in coastal </w:t>
      </w:r>
      <w:r w:rsidRPr="00A73537">
        <w:rPr>
          <w:rFonts w:ascii="Times New Roman" w:hAnsi="Times New Roman" w:cs="Times New Roman"/>
          <w:sz w:val="24"/>
          <w:szCs w:val="24"/>
        </w:rPr>
        <w:lastRenderedPageBreak/>
        <w:t xml:space="preserve">population density pressure in the region (Kyzar et al. 2021), this study uses the established long-term continuous monitoring framework of the NERRS SWMP to establish trends, patterns, and scales in variability of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for a 20-year time period (2003-2022) while providing some potential drivers of that variation.</w:t>
      </w:r>
    </w:p>
    <w:p w14:paraId="4B8E5DC6"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10" w:name="references"/>
      <w:bookmarkEnd w:id="9"/>
      <w:r w:rsidRPr="00A73537">
        <w:rPr>
          <w:rFonts w:ascii="Times New Roman" w:hAnsi="Times New Roman" w:cs="Times New Roman"/>
          <w:sz w:val="24"/>
          <w:szCs w:val="24"/>
        </w:rPr>
        <w:t>References</w:t>
      </w:r>
    </w:p>
    <w:p w14:paraId="2FB0518B"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1" w:name="ref-apple2008"/>
      <w:bookmarkStart w:id="12" w:name="refs"/>
      <w:r w:rsidRPr="00A73537">
        <w:rPr>
          <w:rFonts w:ascii="Times New Roman" w:hAnsi="Times New Roman" w:cs="Times New Roman"/>
          <w:sz w:val="24"/>
          <w:szCs w:val="24"/>
        </w:rPr>
        <w:t xml:space="preserve">Apple, J. K., E. M. Smith, and T. J. Boyd. 2008. Temperature, salinity, nutrients, and the covariation of bacterial production and chlorophyll-a in estuarine ecosystems.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59–75. </w:t>
      </w:r>
      <w:hyperlink r:id="rId8">
        <w:r w:rsidRPr="00A73537">
          <w:rPr>
            <w:rStyle w:val="Hyperlink"/>
            <w:rFonts w:ascii="Times New Roman" w:hAnsi="Times New Roman" w:cs="Times New Roman"/>
            <w:sz w:val="24"/>
            <w:szCs w:val="24"/>
          </w:rPr>
          <w:t>https://doi.org/10.2112/SI55-005.1</w:t>
        </w:r>
      </w:hyperlink>
      <w:r w:rsidRPr="00A73537">
        <w:rPr>
          <w:rFonts w:ascii="Times New Roman" w:hAnsi="Times New Roman" w:cs="Times New Roman"/>
          <w:sz w:val="24"/>
          <w:szCs w:val="24"/>
        </w:rPr>
        <w:t>.</w:t>
      </w:r>
    </w:p>
    <w:p w14:paraId="1A35087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3" w:name="ref-bacopoulos2019"/>
      <w:bookmarkEnd w:id="11"/>
      <w:r w:rsidRPr="00A73537">
        <w:rPr>
          <w:rFonts w:ascii="Times New Roman" w:hAnsi="Times New Roman" w:cs="Times New Roman"/>
          <w:sz w:val="24"/>
          <w:szCs w:val="24"/>
        </w:rPr>
        <w:t xml:space="preserve">Bacopoulos, P., A. S. Tritinger, and N. G. Dix. 2019. Sea-Level Rise Impact on Salt Marsh Sustainability and Migration for a Subtropical Estuary: GTMNERR (Guana Tolomato Matanzas National Estuarine Research Reserve). </w:t>
      </w:r>
      <w:r w:rsidRPr="00A73537">
        <w:rPr>
          <w:rFonts w:ascii="Times New Roman" w:hAnsi="Times New Roman" w:cs="Times New Roman"/>
          <w:i/>
          <w:iCs/>
          <w:sz w:val="24"/>
          <w:szCs w:val="24"/>
        </w:rPr>
        <w:t>Environmental Modeling &amp; Assessment</w:t>
      </w:r>
      <w:r w:rsidRPr="00A73537">
        <w:rPr>
          <w:rFonts w:ascii="Times New Roman" w:hAnsi="Times New Roman" w:cs="Times New Roman"/>
          <w:sz w:val="24"/>
          <w:szCs w:val="24"/>
        </w:rPr>
        <w:t xml:space="preserve"> 24: 163–184. </w:t>
      </w:r>
      <w:hyperlink r:id="rId9">
        <w:r w:rsidRPr="00A73537">
          <w:rPr>
            <w:rStyle w:val="Hyperlink"/>
            <w:rFonts w:ascii="Times New Roman" w:hAnsi="Times New Roman" w:cs="Times New Roman"/>
            <w:sz w:val="24"/>
            <w:szCs w:val="24"/>
          </w:rPr>
          <w:t>https://doi.org/10.1007/s10666-018-9622-6</w:t>
        </w:r>
      </w:hyperlink>
      <w:r w:rsidRPr="00A73537">
        <w:rPr>
          <w:rFonts w:ascii="Times New Roman" w:hAnsi="Times New Roman" w:cs="Times New Roman"/>
          <w:sz w:val="24"/>
          <w:szCs w:val="24"/>
        </w:rPr>
        <w:t>.</w:t>
      </w:r>
    </w:p>
    <w:p w14:paraId="7F92248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4" w:name="ref-beck2022"/>
      <w:bookmarkEnd w:id="13"/>
      <w:r w:rsidRPr="00A73537">
        <w:rPr>
          <w:rFonts w:ascii="Times New Roman" w:hAnsi="Times New Roman" w:cs="Times New Roman"/>
          <w:sz w:val="24"/>
          <w:szCs w:val="24"/>
        </w:rPr>
        <w:t xml:space="preserve">Beck, M. W., P. De Valpine, R. Murphy, I. Wren, A. Chelsky, M. Foley, and D. B. Senn. 2022. </w:t>
      </w:r>
      <w:proofErr w:type="gramStart"/>
      <w:r w:rsidRPr="00A73537">
        <w:rPr>
          <w:rFonts w:ascii="Times New Roman" w:hAnsi="Times New Roman" w:cs="Times New Roman"/>
          <w:sz w:val="24"/>
          <w:szCs w:val="24"/>
        </w:rPr>
        <w:t>Multi-scale</w:t>
      </w:r>
      <w:proofErr w:type="gramEnd"/>
      <w:r w:rsidRPr="00A73537">
        <w:rPr>
          <w:rFonts w:ascii="Times New Roman" w:hAnsi="Times New Roman" w:cs="Times New Roman"/>
          <w:sz w:val="24"/>
          <w:szCs w:val="24"/>
        </w:rPr>
        <w:t xml:space="preserve"> trend analysis of water quality using error propagation of generalized additive models. </w:t>
      </w:r>
      <w:r w:rsidRPr="00A73537">
        <w:rPr>
          <w:rFonts w:ascii="Times New Roman" w:hAnsi="Times New Roman" w:cs="Times New Roman"/>
          <w:i/>
          <w:iCs/>
          <w:sz w:val="24"/>
          <w:szCs w:val="24"/>
        </w:rPr>
        <w:t>Science of The Total Environment</w:t>
      </w:r>
      <w:r w:rsidRPr="00A73537">
        <w:rPr>
          <w:rFonts w:ascii="Times New Roman" w:hAnsi="Times New Roman" w:cs="Times New Roman"/>
          <w:sz w:val="24"/>
          <w:szCs w:val="24"/>
        </w:rPr>
        <w:t xml:space="preserve"> 802: 149927. </w:t>
      </w:r>
      <w:hyperlink r:id="rId10">
        <w:r w:rsidRPr="00A73537">
          <w:rPr>
            <w:rStyle w:val="Hyperlink"/>
            <w:rFonts w:ascii="Times New Roman" w:hAnsi="Times New Roman" w:cs="Times New Roman"/>
            <w:sz w:val="24"/>
            <w:szCs w:val="24"/>
          </w:rPr>
          <w:t>https://doi.org/10.1016/j.scitotenv.2021.149927</w:t>
        </w:r>
      </w:hyperlink>
      <w:r w:rsidRPr="00A73537">
        <w:rPr>
          <w:rFonts w:ascii="Times New Roman" w:hAnsi="Times New Roman" w:cs="Times New Roman"/>
          <w:sz w:val="24"/>
          <w:szCs w:val="24"/>
        </w:rPr>
        <w:t>.</w:t>
      </w:r>
    </w:p>
    <w:p w14:paraId="248F44F4"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5" w:name="ref-wqtrends"/>
      <w:bookmarkEnd w:id="14"/>
      <w:r w:rsidRPr="00A73537">
        <w:rPr>
          <w:rFonts w:ascii="Times New Roman" w:hAnsi="Times New Roman" w:cs="Times New Roman"/>
          <w:sz w:val="24"/>
          <w:szCs w:val="24"/>
        </w:rPr>
        <w:t>Beck, M., P. de Valpine, R. Murphy, I. Wren, A. Chelsky, M. Foley, and D. Senn. 2022. Wqtrends: Assess water quality trends with generalized additive models.</w:t>
      </w:r>
    </w:p>
    <w:p w14:paraId="27550142"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6" w:name="ref-cloern2019"/>
      <w:bookmarkEnd w:id="15"/>
      <w:r w:rsidRPr="00A73537">
        <w:rPr>
          <w:rFonts w:ascii="Times New Roman" w:hAnsi="Times New Roman" w:cs="Times New Roman"/>
          <w:sz w:val="24"/>
          <w:szCs w:val="24"/>
        </w:rPr>
        <w:t xml:space="preserve">Cloern, J. E. 2019. Patterns, pace, and processes of water-quality variability in a long-studied estuary. </w:t>
      </w:r>
      <w:r w:rsidRPr="00A73537">
        <w:rPr>
          <w:rFonts w:ascii="Times New Roman" w:hAnsi="Times New Roman" w:cs="Times New Roman"/>
          <w:i/>
          <w:iCs/>
          <w:sz w:val="24"/>
          <w:szCs w:val="24"/>
        </w:rPr>
        <w:t>Limnology and Oceanography</w:t>
      </w:r>
      <w:r w:rsidRPr="00A73537">
        <w:rPr>
          <w:rFonts w:ascii="Times New Roman" w:hAnsi="Times New Roman" w:cs="Times New Roman"/>
          <w:sz w:val="24"/>
          <w:szCs w:val="24"/>
        </w:rPr>
        <w:t xml:space="preserve"> 64. </w:t>
      </w:r>
      <w:hyperlink r:id="rId11">
        <w:r w:rsidRPr="00A73537">
          <w:rPr>
            <w:rStyle w:val="Hyperlink"/>
            <w:rFonts w:ascii="Times New Roman" w:hAnsi="Times New Roman" w:cs="Times New Roman"/>
            <w:sz w:val="24"/>
            <w:szCs w:val="24"/>
          </w:rPr>
          <w:t>https://doi.org/10.1002/lno.10958</w:t>
        </w:r>
      </w:hyperlink>
      <w:r w:rsidRPr="00A73537">
        <w:rPr>
          <w:rFonts w:ascii="Times New Roman" w:hAnsi="Times New Roman" w:cs="Times New Roman"/>
          <w:sz w:val="24"/>
          <w:szCs w:val="24"/>
        </w:rPr>
        <w:t>.</w:t>
      </w:r>
    </w:p>
    <w:p w14:paraId="031E18C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7" w:name="ref-cloern2010"/>
      <w:bookmarkEnd w:id="16"/>
      <w:r w:rsidRPr="00A73537">
        <w:rPr>
          <w:rFonts w:ascii="Times New Roman" w:hAnsi="Times New Roman" w:cs="Times New Roman"/>
          <w:sz w:val="24"/>
          <w:szCs w:val="24"/>
        </w:rPr>
        <w:lastRenderedPageBreak/>
        <w:t xml:space="preserve">Cloern, J. E., and A. D. Jassby. 2010. Patterns and Scales of Phytoplankton Variability in EstuarineCoastal Ecosystems.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33: 230–241. </w:t>
      </w:r>
      <w:hyperlink r:id="rId12">
        <w:r w:rsidRPr="00A73537">
          <w:rPr>
            <w:rStyle w:val="Hyperlink"/>
            <w:rFonts w:ascii="Times New Roman" w:hAnsi="Times New Roman" w:cs="Times New Roman"/>
            <w:sz w:val="24"/>
            <w:szCs w:val="24"/>
          </w:rPr>
          <w:t>https://doi.org/10.1007/s12237-009-9195-3</w:t>
        </w:r>
      </w:hyperlink>
      <w:r w:rsidRPr="00A73537">
        <w:rPr>
          <w:rFonts w:ascii="Times New Roman" w:hAnsi="Times New Roman" w:cs="Times New Roman"/>
          <w:sz w:val="24"/>
          <w:szCs w:val="24"/>
        </w:rPr>
        <w:t>.</w:t>
      </w:r>
    </w:p>
    <w:p w14:paraId="34A9F91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8" w:name="ref-cloern2023"/>
      <w:bookmarkEnd w:id="17"/>
      <w:r w:rsidRPr="00A73537">
        <w:rPr>
          <w:rFonts w:ascii="Times New Roman" w:hAnsi="Times New Roman" w:cs="Times New Roman"/>
          <w:sz w:val="24"/>
          <w:szCs w:val="24"/>
        </w:rPr>
        <w:t xml:space="preserve">Cloern, J. E., T. S. Schraga, E. Nejad, and T. Eddy. 2023. Phytoplankton as indicators of global warming? </w:t>
      </w:r>
      <w:r w:rsidRPr="00A73537">
        <w:rPr>
          <w:rFonts w:ascii="Times New Roman" w:hAnsi="Times New Roman" w:cs="Times New Roman"/>
          <w:i/>
          <w:iCs/>
          <w:sz w:val="24"/>
          <w:szCs w:val="24"/>
        </w:rPr>
        <w:t>Limnology and Oceanography Letters</w:t>
      </w:r>
      <w:r w:rsidRPr="00A73537">
        <w:rPr>
          <w:rFonts w:ascii="Times New Roman" w:hAnsi="Times New Roman" w:cs="Times New Roman"/>
          <w:sz w:val="24"/>
          <w:szCs w:val="24"/>
        </w:rPr>
        <w:t xml:space="preserve">: lol2.10354. </w:t>
      </w:r>
      <w:hyperlink r:id="rId13">
        <w:r w:rsidRPr="00A73537">
          <w:rPr>
            <w:rStyle w:val="Hyperlink"/>
            <w:rFonts w:ascii="Times New Roman" w:hAnsi="Times New Roman" w:cs="Times New Roman"/>
            <w:sz w:val="24"/>
            <w:szCs w:val="24"/>
          </w:rPr>
          <w:t>https://doi.org/10.1002/lol2.10354</w:t>
        </w:r>
      </w:hyperlink>
      <w:r w:rsidRPr="00A73537">
        <w:rPr>
          <w:rFonts w:ascii="Times New Roman" w:hAnsi="Times New Roman" w:cs="Times New Roman"/>
          <w:sz w:val="24"/>
          <w:szCs w:val="24"/>
        </w:rPr>
        <w:t>.</w:t>
      </w:r>
    </w:p>
    <w:p w14:paraId="77C5BCE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9" w:name="ref-dean1987"/>
      <w:bookmarkEnd w:id="18"/>
      <w:r w:rsidRPr="00A73537">
        <w:rPr>
          <w:rFonts w:ascii="Times New Roman" w:hAnsi="Times New Roman" w:cs="Times New Roman"/>
          <w:sz w:val="24"/>
          <w:szCs w:val="24"/>
        </w:rPr>
        <w:t xml:space="preserve">Dean, R. G., and M. P. O’Brien. 1987. </w:t>
      </w:r>
      <w:hyperlink r:id="rId14">
        <w:r w:rsidRPr="00A73537">
          <w:rPr>
            <w:rStyle w:val="Hyperlink"/>
            <w:rFonts w:ascii="Times New Roman" w:hAnsi="Times New Roman" w:cs="Times New Roman"/>
            <w:i/>
            <w:iCs/>
            <w:sz w:val="24"/>
            <w:szCs w:val="24"/>
          </w:rPr>
          <w:t>Florida’s east coast inlets: Shoreline effects and recommeded action</w:t>
        </w:r>
      </w:hyperlink>
      <w:r w:rsidRPr="00A73537">
        <w:rPr>
          <w:rFonts w:ascii="Times New Roman" w:hAnsi="Times New Roman" w:cs="Times New Roman"/>
          <w:sz w:val="24"/>
          <w:szCs w:val="24"/>
        </w:rPr>
        <w:t>. University of Florida.</w:t>
      </w:r>
    </w:p>
    <w:p w14:paraId="77EDAB3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0" w:name="ref-dix2013"/>
      <w:bookmarkEnd w:id="19"/>
      <w:r w:rsidRPr="00A73537">
        <w:rPr>
          <w:rFonts w:ascii="Times New Roman" w:hAnsi="Times New Roman" w:cs="Times New Roman"/>
          <w:sz w:val="24"/>
          <w:szCs w:val="24"/>
        </w:rPr>
        <w:t xml:space="preserve">Dix, N., E. Phlips, and P. Suscy. 2013. Factors Controlling Phytoplankton Biomass in a Subtropical Coastal Lagoon: Relative Scales of Influence.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36: 981–996. </w:t>
      </w:r>
      <w:hyperlink r:id="rId15">
        <w:r w:rsidRPr="00A73537">
          <w:rPr>
            <w:rStyle w:val="Hyperlink"/>
            <w:rFonts w:ascii="Times New Roman" w:hAnsi="Times New Roman" w:cs="Times New Roman"/>
            <w:sz w:val="24"/>
            <w:szCs w:val="24"/>
          </w:rPr>
          <w:t>https://doi.org/10.1007/s12237-013-9613-4</w:t>
        </w:r>
      </w:hyperlink>
      <w:r w:rsidRPr="00A73537">
        <w:rPr>
          <w:rFonts w:ascii="Times New Roman" w:hAnsi="Times New Roman" w:cs="Times New Roman"/>
          <w:sz w:val="24"/>
          <w:szCs w:val="24"/>
        </w:rPr>
        <w:t>.</w:t>
      </w:r>
    </w:p>
    <w:p w14:paraId="73CE0BA8"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1" w:name="ref-freeman2019"/>
      <w:bookmarkEnd w:id="20"/>
      <w:r w:rsidRPr="00A73537">
        <w:rPr>
          <w:rFonts w:ascii="Times New Roman" w:hAnsi="Times New Roman" w:cs="Times New Roman"/>
          <w:sz w:val="24"/>
          <w:szCs w:val="24"/>
        </w:rPr>
        <w:t xml:space="preserve">Freeman, L. A., D. R. Corbett, A. M. Fitzgerald, D. A. Lemley, A. Quigg, and C. N. Steppe. 2019. Impacts of Urbanization and Development on Estuarine Ecosystems and Water Quality.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42: 1821–1838. </w:t>
      </w:r>
      <w:hyperlink r:id="rId16">
        <w:r w:rsidRPr="00A73537">
          <w:rPr>
            <w:rStyle w:val="Hyperlink"/>
            <w:rFonts w:ascii="Times New Roman" w:hAnsi="Times New Roman" w:cs="Times New Roman"/>
            <w:sz w:val="24"/>
            <w:szCs w:val="24"/>
          </w:rPr>
          <w:t>https://doi.org/10.1007/s12237-019-00597-z</w:t>
        </w:r>
      </w:hyperlink>
      <w:r w:rsidRPr="00A73537">
        <w:rPr>
          <w:rFonts w:ascii="Times New Roman" w:hAnsi="Times New Roman" w:cs="Times New Roman"/>
          <w:sz w:val="24"/>
          <w:szCs w:val="24"/>
        </w:rPr>
        <w:t>.</w:t>
      </w:r>
    </w:p>
    <w:p w14:paraId="42A2328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2" w:name="ref-gray2021"/>
      <w:bookmarkEnd w:id="21"/>
      <w:r w:rsidRPr="00A73537">
        <w:rPr>
          <w:rFonts w:ascii="Times New Roman" w:hAnsi="Times New Roman" w:cs="Times New Roman"/>
          <w:sz w:val="24"/>
          <w:szCs w:val="24"/>
        </w:rPr>
        <w:t xml:space="preserve">Gray, M. W., D. Pinton, A. Canestrelli, N. Dix, P. Marcum, D. Kimbro, and R. Grizzle. 2021. Beyond Residence Time: Quantifying Factors that Drive the Spatially Explicit Filtration Services of an Abundant Native Oyster Population.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45: 1343–1360. </w:t>
      </w:r>
      <w:hyperlink r:id="rId17">
        <w:r w:rsidRPr="00A73537">
          <w:rPr>
            <w:rStyle w:val="Hyperlink"/>
            <w:rFonts w:ascii="Times New Roman" w:hAnsi="Times New Roman" w:cs="Times New Roman"/>
            <w:sz w:val="24"/>
            <w:szCs w:val="24"/>
          </w:rPr>
          <w:t>https://doi.org/10.1007/s12237-021-01017-x</w:t>
        </w:r>
      </w:hyperlink>
      <w:r w:rsidRPr="00A73537">
        <w:rPr>
          <w:rFonts w:ascii="Times New Roman" w:hAnsi="Times New Roman" w:cs="Times New Roman"/>
          <w:sz w:val="24"/>
          <w:szCs w:val="24"/>
        </w:rPr>
        <w:t>.</w:t>
      </w:r>
    </w:p>
    <w:p w14:paraId="637940AE"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3" w:name="ref-greve2005"/>
      <w:bookmarkEnd w:id="22"/>
      <w:r w:rsidRPr="00A73537">
        <w:rPr>
          <w:rFonts w:ascii="Times New Roman" w:hAnsi="Times New Roman" w:cs="Times New Roman"/>
          <w:sz w:val="24"/>
          <w:szCs w:val="24"/>
        </w:rPr>
        <w:t xml:space="preserve">Greve, W., S. Prinage, H. Zidowitz, J. Nast, and F. Reiners. 2005. </w:t>
      </w:r>
      <w:hyperlink r:id="rId18">
        <w:r w:rsidRPr="00A73537">
          <w:rPr>
            <w:rStyle w:val="Hyperlink"/>
            <w:rFonts w:ascii="Times New Roman" w:hAnsi="Times New Roman" w:cs="Times New Roman"/>
            <w:sz w:val="24"/>
            <w:szCs w:val="24"/>
          </w:rPr>
          <w:t xml:space="preserve">On the phenology of </w:t>
        </w:r>
        <w:proofErr w:type="gramStart"/>
        <w:r w:rsidRPr="00A73537">
          <w:rPr>
            <w:rStyle w:val="Hyperlink"/>
            <w:rFonts w:ascii="Times New Roman" w:hAnsi="Times New Roman" w:cs="Times New Roman"/>
            <w:sz w:val="24"/>
            <w:szCs w:val="24"/>
          </w:rPr>
          <w:t>north sea</w:t>
        </w:r>
        <w:proofErr w:type="gramEnd"/>
        <w:r w:rsidRPr="00A73537">
          <w:rPr>
            <w:rStyle w:val="Hyperlink"/>
            <w:rFonts w:ascii="Times New Roman" w:hAnsi="Times New Roman" w:cs="Times New Roman"/>
            <w:sz w:val="24"/>
            <w:szCs w:val="24"/>
          </w:rPr>
          <w:t xml:space="preserve"> ichthyoplankton</w:t>
        </w:r>
      </w:hyperlink>
      <w:r w:rsidRPr="00A73537">
        <w:rPr>
          <w:rFonts w:ascii="Times New Roman" w:hAnsi="Times New Roman" w:cs="Times New Roman"/>
          <w:sz w:val="24"/>
          <w:szCs w:val="24"/>
        </w:rPr>
        <w:t xml:space="preserve">. </w:t>
      </w:r>
      <w:r w:rsidRPr="00A73537">
        <w:rPr>
          <w:rFonts w:ascii="Times New Roman" w:hAnsi="Times New Roman" w:cs="Times New Roman"/>
          <w:i/>
          <w:iCs/>
          <w:sz w:val="24"/>
          <w:szCs w:val="24"/>
        </w:rPr>
        <w:t>ICES Journal of Marine Science</w:t>
      </w:r>
      <w:r w:rsidRPr="00A73537">
        <w:rPr>
          <w:rFonts w:ascii="Times New Roman" w:hAnsi="Times New Roman" w:cs="Times New Roman"/>
          <w:sz w:val="24"/>
          <w:szCs w:val="24"/>
        </w:rPr>
        <w:t xml:space="preserve"> 62: 1216–1223.</w:t>
      </w:r>
    </w:p>
    <w:p w14:paraId="3DB332A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4" w:name="ref-harding2016"/>
      <w:bookmarkEnd w:id="23"/>
      <w:r w:rsidRPr="00A73537">
        <w:rPr>
          <w:rFonts w:ascii="Times New Roman" w:hAnsi="Times New Roman" w:cs="Times New Roman"/>
          <w:sz w:val="24"/>
          <w:szCs w:val="24"/>
        </w:rPr>
        <w:lastRenderedPageBreak/>
        <w:t xml:space="preserve">Harding, L. W., C. L. Gallegos, E. S. Perry, W. D. Miller, J. E. Adolf, M. E. Mallonee, and H. W. Paerl. 2016. Long-Term Trends of Nutrients and Phytoplankton in Chesapeake Bay.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39: 664–681. </w:t>
      </w:r>
      <w:hyperlink r:id="rId19">
        <w:r w:rsidRPr="00A73537">
          <w:rPr>
            <w:rStyle w:val="Hyperlink"/>
            <w:rFonts w:ascii="Times New Roman" w:hAnsi="Times New Roman" w:cs="Times New Roman"/>
            <w:sz w:val="24"/>
            <w:szCs w:val="24"/>
          </w:rPr>
          <w:t>https://doi.org/10.1007/s12237-015-0023-7</w:t>
        </w:r>
      </w:hyperlink>
      <w:r w:rsidRPr="00A73537">
        <w:rPr>
          <w:rFonts w:ascii="Times New Roman" w:hAnsi="Times New Roman" w:cs="Times New Roman"/>
          <w:sz w:val="24"/>
          <w:szCs w:val="24"/>
        </w:rPr>
        <w:t>.</w:t>
      </w:r>
    </w:p>
    <w:p w14:paraId="1EABB3B3"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5" w:name="ref-hart2015"/>
      <w:bookmarkEnd w:id="24"/>
      <w:r w:rsidRPr="00A73537">
        <w:rPr>
          <w:rFonts w:ascii="Times New Roman" w:hAnsi="Times New Roman" w:cs="Times New Roman"/>
          <w:sz w:val="24"/>
          <w:szCs w:val="24"/>
        </w:rPr>
        <w:t xml:space="preserve">Hart, J. A., E. J. Phlips, S. Badylak, N. Dix, K. Petrinec, A. L. Mathews, W. Green, and A. Srifa. 2015. Phytoplankton biomass and composition in a well-flushed, sub-tropical estuary: The contrasting effects of hydrology, nutrient loads and allochthonous influences. </w:t>
      </w:r>
      <w:r w:rsidRPr="00A73537">
        <w:rPr>
          <w:rFonts w:ascii="Times New Roman" w:hAnsi="Times New Roman" w:cs="Times New Roman"/>
          <w:i/>
          <w:iCs/>
          <w:sz w:val="24"/>
          <w:szCs w:val="24"/>
        </w:rPr>
        <w:t>Marine Environmental Research</w:t>
      </w:r>
      <w:r w:rsidRPr="00A73537">
        <w:rPr>
          <w:rFonts w:ascii="Times New Roman" w:hAnsi="Times New Roman" w:cs="Times New Roman"/>
          <w:sz w:val="24"/>
          <w:szCs w:val="24"/>
        </w:rPr>
        <w:t xml:space="preserve"> 112: 9–20. </w:t>
      </w:r>
      <w:hyperlink r:id="rId20">
        <w:r w:rsidRPr="00A73537">
          <w:rPr>
            <w:rStyle w:val="Hyperlink"/>
            <w:rFonts w:ascii="Times New Roman" w:hAnsi="Times New Roman" w:cs="Times New Roman"/>
            <w:sz w:val="24"/>
            <w:szCs w:val="24"/>
          </w:rPr>
          <w:t>https://doi.org/10.1016/j.marenvres.2015.08.010</w:t>
        </w:r>
      </w:hyperlink>
      <w:r w:rsidRPr="00A73537">
        <w:rPr>
          <w:rFonts w:ascii="Times New Roman" w:hAnsi="Times New Roman" w:cs="Times New Roman"/>
          <w:sz w:val="24"/>
          <w:szCs w:val="24"/>
        </w:rPr>
        <w:t>.</w:t>
      </w:r>
    </w:p>
    <w:p w14:paraId="3C198AE2"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6" w:name="ref-jassby2008"/>
      <w:bookmarkEnd w:id="25"/>
      <w:r w:rsidRPr="00A73537">
        <w:rPr>
          <w:rFonts w:ascii="Times New Roman" w:hAnsi="Times New Roman" w:cs="Times New Roman"/>
          <w:sz w:val="24"/>
          <w:szCs w:val="24"/>
        </w:rPr>
        <w:t xml:space="preserve">Jassby, A. D. 2008. Phytoplankton in the Upper San Francisco Estuary: Recent Biomass Trends, Their Causes, and Their Trophic Significance. </w:t>
      </w:r>
      <w:r w:rsidRPr="00A73537">
        <w:rPr>
          <w:rFonts w:ascii="Times New Roman" w:hAnsi="Times New Roman" w:cs="Times New Roman"/>
          <w:i/>
          <w:iCs/>
          <w:sz w:val="24"/>
          <w:szCs w:val="24"/>
        </w:rPr>
        <w:t>San Francisco Estuary and Watershed Science</w:t>
      </w:r>
      <w:r w:rsidRPr="00A73537">
        <w:rPr>
          <w:rFonts w:ascii="Times New Roman" w:hAnsi="Times New Roman" w:cs="Times New Roman"/>
          <w:sz w:val="24"/>
          <w:szCs w:val="24"/>
        </w:rPr>
        <w:t xml:space="preserve"> 6. </w:t>
      </w:r>
      <w:hyperlink r:id="rId21">
        <w:r w:rsidRPr="00A73537">
          <w:rPr>
            <w:rStyle w:val="Hyperlink"/>
            <w:rFonts w:ascii="Times New Roman" w:hAnsi="Times New Roman" w:cs="Times New Roman"/>
            <w:sz w:val="24"/>
            <w:szCs w:val="24"/>
          </w:rPr>
          <w:t>https://doi.org/10.15447/sfews.2008v6iss1art2</w:t>
        </w:r>
      </w:hyperlink>
      <w:r w:rsidRPr="00A73537">
        <w:rPr>
          <w:rFonts w:ascii="Times New Roman" w:hAnsi="Times New Roman" w:cs="Times New Roman"/>
          <w:sz w:val="24"/>
          <w:szCs w:val="24"/>
        </w:rPr>
        <w:t>.</w:t>
      </w:r>
    </w:p>
    <w:p w14:paraId="3AF1C41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7" w:name="ref-wql"/>
      <w:bookmarkEnd w:id="26"/>
      <w:r w:rsidRPr="00A73537">
        <w:rPr>
          <w:rFonts w:ascii="Times New Roman" w:hAnsi="Times New Roman" w:cs="Times New Roman"/>
          <w:sz w:val="24"/>
          <w:szCs w:val="24"/>
        </w:rPr>
        <w:t xml:space="preserve">Jassby, A. D., and J. E. Cloern. 2022. </w:t>
      </w:r>
      <w:hyperlink r:id="rId22">
        <w:r w:rsidRPr="00A73537">
          <w:rPr>
            <w:rStyle w:val="Hyperlink"/>
            <w:rFonts w:ascii="Times New Roman" w:hAnsi="Times New Roman" w:cs="Times New Roman"/>
            <w:sz w:val="24"/>
            <w:szCs w:val="24"/>
          </w:rPr>
          <w:t>Wq: Exploring water quality monitoring data</w:t>
        </w:r>
      </w:hyperlink>
      <w:r w:rsidRPr="00A73537">
        <w:rPr>
          <w:rFonts w:ascii="Times New Roman" w:hAnsi="Times New Roman" w:cs="Times New Roman"/>
          <w:sz w:val="24"/>
          <w:szCs w:val="24"/>
        </w:rPr>
        <w:t>.</w:t>
      </w:r>
    </w:p>
    <w:p w14:paraId="67FB69F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8" w:name="ref-keppler2015"/>
      <w:bookmarkEnd w:id="27"/>
      <w:r w:rsidRPr="00A73537">
        <w:rPr>
          <w:rFonts w:ascii="Times New Roman" w:hAnsi="Times New Roman" w:cs="Times New Roman"/>
          <w:sz w:val="24"/>
          <w:szCs w:val="24"/>
        </w:rPr>
        <w:t xml:space="preserve">Keppler, C., D. Bergquist, L. Brock, J. Felber, and D. Greenfield. 2015. A spatial assessment of baseline nutrient and water quality values in the ashepoo–combahee–edisto (ACE) basin, south carolina, USA. </w:t>
      </w:r>
      <w:r w:rsidRPr="00A73537">
        <w:rPr>
          <w:rFonts w:ascii="Times New Roman" w:hAnsi="Times New Roman" w:cs="Times New Roman"/>
          <w:i/>
          <w:iCs/>
          <w:sz w:val="24"/>
          <w:szCs w:val="24"/>
        </w:rPr>
        <w:t>Marine Pollution Bulletin</w:t>
      </w:r>
      <w:r w:rsidRPr="00A73537">
        <w:rPr>
          <w:rFonts w:ascii="Times New Roman" w:hAnsi="Times New Roman" w:cs="Times New Roman"/>
          <w:sz w:val="24"/>
          <w:szCs w:val="24"/>
        </w:rPr>
        <w:t xml:space="preserve"> 99: 332–337. </w:t>
      </w:r>
      <w:hyperlink r:id="rId23">
        <w:r w:rsidRPr="00A73537">
          <w:rPr>
            <w:rStyle w:val="Hyperlink"/>
            <w:rFonts w:ascii="Times New Roman" w:hAnsi="Times New Roman" w:cs="Times New Roman"/>
            <w:sz w:val="24"/>
            <w:szCs w:val="24"/>
          </w:rPr>
          <w:t>https://doi.org/10.1016/j.marpolbul.2015.07.035</w:t>
        </w:r>
      </w:hyperlink>
      <w:r w:rsidRPr="00A73537">
        <w:rPr>
          <w:rFonts w:ascii="Times New Roman" w:hAnsi="Times New Roman" w:cs="Times New Roman"/>
          <w:sz w:val="24"/>
          <w:szCs w:val="24"/>
        </w:rPr>
        <w:t>.</w:t>
      </w:r>
    </w:p>
    <w:p w14:paraId="331DD006"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9" w:name="ref-korsman2017"/>
      <w:bookmarkEnd w:id="28"/>
      <w:r w:rsidRPr="00A73537">
        <w:rPr>
          <w:rFonts w:ascii="Times New Roman" w:hAnsi="Times New Roman" w:cs="Times New Roman"/>
          <w:sz w:val="24"/>
          <w:szCs w:val="24"/>
        </w:rPr>
        <w:t xml:space="preserve">Korsman, B. M., M. E. Kimball, and F. J. Hernandez. 2017. Spatial and temporal variability in ichthyoplankton communities ingressing through two adjacent inlets along the southeastern US Atlantic coast. </w:t>
      </w:r>
      <w:r w:rsidRPr="00A73537">
        <w:rPr>
          <w:rFonts w:ascii="Times New Roman" w:hAnsi="Times New Roman" w:cs="Times New Roman"/>
          <w:i/>
          <w:iCs/>
          <w:sz w:val="24"/>
          <w:szCs w:val="24"/>
        </w:rPr>
        <w:t>Hydrobiologia</w:t>
      </w:r>
      <w:r w:rsidRPr="00A73537">
        <w:rPr>
          <w:rFonts w:ascii="Times New Roman" w:hAnsi="Times New Roman" w:cs="Times New Roman"/>
          <w:sz w:val="24"/>
          <w:szCs w:val="24"/>
        </w:rPr>
        <w:t xml:space="preserve"> 795: 219–237. </w:t>
      </w:r>
      <w:hyperlink r:id="rId24">
        <w:r w:rsidRPr="00A73537">
          <w:rPr>
            <w:rStyle w:val="Hyperlink"/>
            <w:rFonts w:ascii="Times New Roman" w:hAnsi="Times New Roman" w:cs="Times New Roman"/>
            <w:sz w:val="24"/>
            <w:szCs w:val="24"/>
          </w:rPr>
          <w:t>https://doi.org/10.1007/s10750-017-3131-5</w:t>
        </w:r>
      </w:hyperlink>
      <w:r w:rsidRPr="00A73537">
        <w:rPr>
          <w:rFonts w:ascii="Times New Roman" w:hAnsi="Times New Roman" w:cs="Times New Roman"/>
          <w:sz w:val="24"/>
          <w:szCs w:val="24"/>
        </w:rPr>
        <w:t>.</w:t>
      </w:r>
    </w:p>
    <w:p w14:paraId="19C24A1A"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0" w:name="ref-kyzar2021"/>
      <w:bookmarkEnd w:id="29"/>
      <w:r w:rsidRPr="00A73537">
        <w:rPr>
          <w:rFonts w:ascii="Times New Roman" w:hAnsi="Times New Roman" w:cs="Times New Roman"/>
          <w:sz w:val="24"/>
          <w:szCs w:val="24"/>
        </w:rPr>
        <w:t xml:space="preserve">Kyzar, T., I. Safak, J. Cebrian, M. W. Clark, N. Dix, K. Dietz, R. K. Gittman, et al. 2021. Challenges and opportunities for sustaining coastal wetlands and oyster reefs in the southeastern United States. </w:t>
      </w:r>
      <w:r w:rsidRPr="00A73537">
        <w:rPr>
          <w:rFonts w:ascii="Times New Roman" w:hAnsi="Times New Roman" w:cs="Times New Roman"/>
          <w:i/>
          <w:iCs/>
          <w:sz w:val="24"/>
          <w:szCs w:val="24"/>
        </w:rPr>
        <w:t>Journal of Environmental Management</w:t>
      </w:r>
      <w:r w:rsidRPr="00A73537">
        <w:rPr>
          <w:rFonts w:ascii="Times New Roman" w:hAnsi="Times New Roman" w:cs="Times New Roman"/>
          <w:sz w:val="24"/>
          <w:szCs w:val="24"/>
        </w:rPr>
        <w:t xml:space="preserve"> 296: 113178. </w:t>
      </w:r>
      <w:hyperlink r:id="rId25">
        <w:r w:rsidRPr="00A73537">
          <w:rPr>
            <w:rStyle w:val="Hyperlink"/>
            <w:rFonts w:ascii="Times New Roman" w:hAnsi="Times New Roman" w:cs="Times New Roman"/>
            <w:sz w:val="24"/>
            <w:szCs w:val="24"/>
          </w:rPr>
          <w:t>https://doi.org/10.1016/j.jenvman.2021.113178</w:t>
        </w:r>
      </w:hyperlink>
      <w:r w:rsidRPr="00A73537">
        <w:rPr>
          <w:rFonts w:ascii="Times New Roman" w:hAnsi="Times New Roman" w:cs="Times New Roman"/>
          <w:sz w:val="24"/>
          <w:szCs w:val="24"/>
        </w:rPr>
        <w:t>.</w:t>
      </w:r>
    </w:p>
    <w:p w14:paraId="4DA18BB4"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1" w:name="ref-phlips2021"/>
      <w:bookmarkEnd w:id="30"/>
      <w:r w:rsidRPr="00A73537">
        <w:rPr>
          <w:rFonts w:ascii="Times New Roman" w:hAnsi="Times New Roman" w:cs="Times New Roman"/>
          <w:sz w:val="24"/>
          <w:szCs w:val="24"/>
        </w:rPr>
        <w:lastRenderedPageBreak/>
        <w:t xml:space="preserve">Phlips, E. J., S. Badylak, N. G. Nelson, L. M. Hall, C. A. Jacoby, M. A. Lasi, J. C. Lockwood, and J. D. Miller. 2021. </w:t>
      </w:r>
      <w:hyperlink r:id="rId26">
        <w:r w:rsidRPr="00A73537">
          <w:rPr>
            <w:rStyle w:val="Hyperlink"/>
            <w:rFonts w:ascii="Times New Roman" w:hAnsi="Times New Roman" w:cs="Times New Roman"/>
            <w:sz w:val="24"/>
            <w:szCs w:val="24"/>
          </w:rPr>
          <w:t>Cyclical patterns and a regime shift in the character of phytoplankton blooms in a restricted sub-tropical lagoon, indian river lagoon, florida, united states</w:t>
        </w:r>
      </w:hyperlink>
      <w:r w:rsidRPr="00A73537">
        <w:rPr>
          <w:rFonts w:ascii="Times New Roman" w:hAnsi="Times New Roman" w:cs="Times New Roman"/>
          <w:sz w:val="24"/>
          <w:szCs w:val="24"/>
        </w:rPr>
        <w:t xml:space="preserve">. </w:t>
      </w:r>
      <w:r w:rsidRPr="00A73537">
        <w:rPr>
          <w:rFonts w:ascii="Times New Roman" w:hAnsi="Times New Roman" w:cs="Times New Roman"/>
          <w:i/>
          <w:iCs/>
          <w:sz w:val="24"/>
          <w:szCs w:val="24"/>
        </w:rPr>
        <w:t>Frontiers in Marine Science</w:t>
      </w:r>
      <w:r w:rsidRPr="00A73537">
        <w:rPr>
          <w:rFonts w:ascii="Times New Roman" w:hAnsi="Times New Roman" w:cs="Times New Roman"/>
          <w:sz w:val="24"/>
          <w:szCs w:val="24"/>
        </w:rPr>
        <w:t xml:space="preserve"> 8.</w:t>
      </w:r>
    </w:p>
    <w:p w14:paraId="4979647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2" w:name="ref-phlips2020"/>
      <w:bookmarkEnd w:id="31"/>
      <w:r w:rsidRPr="00A73537">
        <w:rPr>
          <w:rFonts w:ascii="Times New Roman" w:hAnsi="Times New Roman" w:cs="Times New Roman"/>
          <w:sz w:val="24"/>
          <w:szCs w:val="24"/>
        </w:rPr>
        <w:t xml:space="preserve">Phlips, E. J., S. Badylak, N. G. Nelson, and K. E. Havens. 2020. Hurricanes, El </w:t>
      </w:r>
      <w:proofErr w:type="gramStart"/>
      <w:r w:rsidRPr="00A73537">
        <w:rPr>
          <w:rFonts w:ascii="Times New Roman" w:hAnsi="Times New Roman" w:cs="Times New Roman"/>
          <w:sz w:val="24"/>
          <w:szCs w:val="24"/>
        </w:rPr>
        <w:t>Niño</w:t>
      </w:r>
      <w:proofErr w:type="gramEnd"/>
      <w:r w:rsidRPr="00A73537">
        <w:rPr>
          <w:rFonts w:ascii="Times New Roman" w:hAnsi="Times New Roman" w:cs="Times New Roman"/>
          <w:sz w:val="24"/>
          <w:szCs w:val="24"/>
        </w:rPr>
        <w:t xml:space="preserve"> and harmful algal blooms in two sub-tropical Florida estuaries: Direct and indirect impacts. </w:t>
      </w:r>
      <w:r w:rsidRPr="00A73537">
        <w:rPr>
          <w:rFonts w:ascii="Times New Roman" w:hAnsi="Times New Roman" w:cs="Times New Roman"/>
          <w:i/>
          <w:iCs/>
          <w:sz w:val="24"/>
          <w:szCs w:val="24"/>
        </w:rPr>
        <w:t>Scientific Reports</w:t>
      </w:r>
      <w:r w:rsidRPr="00A73537">
        <w:rPr>
          <w:rFonts w:ascii="Times New Roman" w:hAnsi="Times New Roman" w:cs="Times New Roman"/>
          <w:sz w:val="24"/>
          <w:szCs w:val="24"/>
        </w:rPr>
        <w:t xml:space="preserve"> 10: 1910. </w:t>
      </w:r>
      <w:hyperlink r:id="rId27">
        <w:r w:rsidRPr="00A73537">
          <w:rPr>
            <w:rStyle w:val="Hyperlink"/>
            <w:rFonts w:ascii="Times New Roman" w:hAnsi="Times New Roman" w:cs="Times New Roman"/>
            <w:sz w:val="24"/>
            <w:szCs w:val="24"/>
          </w:rPr>
          <w:t>https://doi.org/10.1038/s41598-020-58771-4</w:t>
        </w:r>
      </w:hyperlink>
      <w:r w:rsidRPr="00A73537">
        <w:rPr>
          <w:rFonts w:ascii="Times New Roman" w:hAnsi="Times New Roman" w:cs="Times New Roman"/>
          <w:sz w:val="24"/>
          <w:szCs w:val="24"/>
        </w:rPr>
        <w:t>.</w:t>
      </w:r>
    </w:p>
    <w:p w14:paraId="510EF3AE"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3" w:name="ref-phlips2004"/>
      <w:bookmarkEnd w:id="32"/>
      <w:r w:rsidRPr="00A73537">
        <w:rPr>
          <w:rFonts w:ascii="Times New Roman" w:hAnsi="Times New Roman" w:cs="Times New Roman"/>
          <w:sz w:val="24"/>
          <w:szCs w:val="24"/>
        </w:rPr>
        <w:t xml:space="preserve">Phlips, E. J., N. Love, S. Badylak, P. Hansen, J. Lockwood, C. V. John, and R. Gleeson. 2004. A Comparison of Water Quality and Hydrodynamic Characteristics of the Guana Tolomato Matanzas National Estuarine Research Reserve and the Indian River Lagoon of Florida**.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10045: 93–109. </w:t>
      </w:r>
      <w:hyperlink r:id="rId28">
        <w:r w:rsidRPr="00A73537">
          <w:rPr>
            <w:rStyle w:val="Hyperlink"/>
            <w:rFonts w:ascii="Times New Roman" w:hAnsi="Times New Roman" w:cs="Times New Roman"/>
            <w:sz w:val="24"/>
            <w:szCs w:val="24"/>
          </w:rPr>
          <w:t>https://doi.org/10.2112/SI45-093.1</w:t>
        </w:r>
      </w:hyperlink>
      <w:r w:rsidRPr="00A73537">
        <w:rPr>
          <w:rFonts w:ascii="Times New Roman" w:hAnsi="Times New Roman" w:cs="Times New Roman"/>
          <w:sz w:val="24"/>
          <w:szCs w:val="24"/>
        </w:rPr>
        <w:t>.</w:t>
      </w:r>
    </w:p>
    <w:p w14:paraId="45A72FA1"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4" w:name="ref-R"/>
      <w:bookmarkEnd w:id="33"/>
      <w:r w:rsidRPr="00A73537">
        <w:rPr>
          <w:rFonts w:ascii="Times New Roman" w:hAnsi="Times New Roman" w:cs="Times New Roman"/>
          <w:sz w:val="24"/>
          <w:szCs w:val="24"/>
        </w:rPr>
        <w:t xml:space="preserve">R Core Team. 2023. </w:t>
      </w:r>
      <w:hyperlink r:id="rId29">
        <w:r w:rsidRPr="00A73537">
          <w:rPr>
            <w:rStyle w:val="Hyperlink"/>
            <w:rFonts w:ascii="Times New Roman" w:hAnsi="Times New Roman" w:cs="Times New Roman"/>
            <w:i/>
            <w:iCs/>
            <w:sz w:val="24"/>
            <w:szCs w:val="24"/>
          </w:rPr>
          <w:t>R: A language and environment for statistical computing</w:t>
        </w:r>
      </w:hyperlink>
      <w:r w:rsidRPr="00A73537">
        <w:rPr>
          <w:rFonts w:ascii="Times New Roman" w:hAnsi="Times New Roman" w:cs="Times New Roman"/>
          <w:sz w:val="24"/>
          <w:szCs w:val="24"/>
        </w:rPr>
        <w:t>. Vienna, Austria: R Foundation for Statistical Computing.</w:t>
      </w:r>
    </w:p>
    <w:p w14:paraId="39DB100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5" w:name="ref-sheng2008"/>
      <w:bookmarkEnd w:id="34"/>
      <w:r w:rsidRPr="00A73537">
        <w:rPr>
          <w:rFonts w:ascii="Times New Roman" w:hAnsi="Times New Roman" w:cs="Times New Roman"/>
          <w:sz w:val="24"/>
          <w:szCs w:val="24"/>
        </w:rPr>
        <w:t xml:space="preserve">Sheng, Y. P., B. Tutak, J. R. Davis, and V. Paramygin. 2008. Circulation and Flushing in the Lagoonal System of the Guana Tolomato Matanzas National Estuarine Research Reserve (GTMNERR), Florida.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10055: 9–25. </w:t>
      </w:r>
      <w:hyperlink r:id="rId30">
        <w:r w:rsidRPr="00A73537">
          <w:rPr>
            <w:rStyle w:val="Hyperlink"/>
            <w:rFonts w:ascii="Times New Roman" w:hAnsi="Times New Roman" w:cs="Times New Roman"/>
            <w:sz w:val="24"/>
            <w:szCs w:val="24"/>
          </w:rPr>
          <w:t>https://doi.org/10.2112/SI55-002.1</w:t>
        </w:r>
      </w:hyperlink>
      <w:r w:rsidRPr="00A73537">
        <w:rPr>
          <w:rFonts w:ascii="Times New Roman" w:hAnsi="Times New Roman" w:cs="Times New Roman"/>
          <w:sz w:val="24"/>
          <w:szCs w:val="24"/>
        </w:rPr>
        <w:t>.</w:t>
      </w:r>
    </w:p>
    <w:p w14:paraId="24029C89"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6" w:name="ref-NERRS2022"/>
      <w:bookmarkEnd w:id="35"/>
      <w:r w:rsidRPr="00A73537">
        <w:rPr>
          <w:rFonts w:ascii="Times New Roman" w:hAnsi="Times New Roman" w:cs="Times New Roman"/>
          <w:sz w:val="24"/>
          <w:szCs w:val="24"/>
        </w:rPr>
        <w:t xml:space="preserve">System, N. N. E. R. R. 2022. </w:t>
      </w:r>
      <w:r w:rsidRPr="00A73537">
        <w:rPr>
          <w:rFonts w:ascii="Times New Roman" w:hAnsi="Times New Roman" w:cs="Times New Roman"/>
          <w:i/>
          <w:iCs/>
          <w:sz w:val="24"/>
          <w:szCs w:val="24"/>
        </w:rPr>
        <w:t>System-wide monitoring program data management manual</w:t>
      </w:r>
      <w:r w:rsidRPr="00A73537">
        <w:rPr>
          <w:rFonts w:ascii="Times New Roman" w:hAnsi="Times New Roman" w:cs="Times New Roman"/>
          <w:sz w:val="24"/>
          <w:szCs w:val="24"/>
        </w:rPr>
        <w:t xml:space="preserve"> (version Version 6.7). Centralized Data Management Office.</w:t>
      </w:r>
    </w:p>
    <w:p w14:paraId="133BEBE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7" w:name="ref-williams2014"/>
      <w:bookmarkEnd w:id="36"/>
      <w:r w:rsidRPr="00A73537">
        <w:rPr>
          <w:rFonts w:ascii="Times New Roman" w:hAnsi="Times New Roman" w:cs="Times New Roman"/>
          <w:sz w:val="24"/>
          <w:szCs w:val="24"/>
        </w:rPr>
        <w:t>Williams, A. A., S. F. Eastman, W</w:t>
      </w:r>
      <w:proofErr w:type="gramStart"/>
      <w:r w:rsidRPr="00A73537">
        <w:rPr>
          <w:rFonts w:ascii="Times New Roman" w:hAnsi="Times New Roman" w:cs="Times New Roman"/>
          <w:sz w:val="24"/>
          <w:szCs w:val="24"/>
        </w:rPr>
        <w:t>. E</w:t>
      </w:r>
      <w:proofErr w:type="gramEnd"/>
      <w:r w:rsidRPr="00A73537">
        <w:rPr>
          <w:rFonts w:ascii="Times New Roman" w:hAnsi="Times New Roman" w:cs="Times New Roman"/>
          <w:sz w:val="24"/>
          <w:szCs w:val="24"/>
        </w:rPr>
        <w:t xml:space="preserve">. Eash-Loucks, M. E. Kimball, M. L. Lehmann, and J. D. Parker. 2014. Record Northernmost Endemic Mangroves on the United States Atlantic Coast </w:t>
      </w:r>
      <w:r w:rsidRPr="00A73537">
        <w:rPr>
          <w:rFonts w:ascii="Times New Roman" w:hAnsi="Times New Roman" w:cs="Times New Roman"/>
          <w:sz w:val="24"/>
          <w:szCs w:val="24"/>
        </w:rPr>
        <w:lastRenderedPageBreak/>
        <w:t xml:space="preserve">with a Note on Latitudinal Migration. </w:t>
      </w:r>
      <w:r w:rsidRPr="00A73537">
        <w:rPr>
          <w:rFonts w:ascii="Times New Roman" w:hAnsi="Times New Roman" w:cs="Times New Roman"/>
          <w:i/>
          <w:iCs/>
          <w:sz w:val="24"/>
          <w:szCs w:val="24"/>
        </w:rPr>
        <w:t>Southeastern Naturalist</w:t>
      </w:r>
      <w:r w:rsidRPr="00A73537">
        <w:rPr>
          <w:rFonts w:ascii="Times New Roman" w:hAnsi="Times New Roman" w:cs="Times New Roman"/>
          <w:sz w:val="24"/>
          <w:szCs w:val="24"/>
        </w:rPr>
        <w:t xml:space="preserve"> 13: 56–63. </w:t>
      </w:r>
      <w:hyperlink r:id="rId31">
        <w:r w:rsidRPr="00A73537">
          <w:rPr>
            <w:rStyle w:val="Hyperlink"/>
            <w:rFonts w:ascii="Times New Roman" w:hAnsi="Times New Roman" w:cs="Times New Roman"/>
            <w:sz w:val="24"/>
            <w:szCs w:val="24"/>
          </w:rPr>
          <w:t>https://doi.org/10.1656/058.013.0104</w:t>
        </w:r>
      </w:hyperlink>
      <w:r w:rsidRPr="00A73537">
        <w:rPr>
          <w:rFonts w:ascii="Times New Roman" w:hAnsi="Times New Roman" w:cs="Times New Roman"/>
          <w:sz w:val="24"/>
          <w:szCs w:val="24"/>
        </w:rPr>
        <w:t>.</w:t>
      </w:r>
    </w:p>
    <w:p w14:paraId="7CD56589"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8" w:name="ref-winkler2004"/>
      <w:bookmarkEnd w:id="37"/>
      <w:r w:rsidRPr="00A73537">
        <w:rPr>
          <w:rFonts w:ascii="Times New Roman" w:hAnsi="Times New Roman" w:cs="Times New Roman"/>
          <w:sz w:val="24"/>
          <w:szCs w:val="24"/>
        </w:rPr>
        <w:t xml:space="preserve">Winkler, S., and A. Ceric. 2004. </w:t>
      </w:r>
      <w:r w:rsidRPr="00A73537">
        <w:rPr>
          <w:rFonts w:ascii="Times New Roman" w:hAnsi="Times New Roman" w:cs="Times New Roman"/>
          <w:i/>
          <w:iCs/>
          <w:sz w:val="24"/>
          <w:szCs w:val="24"/>
        </w:rPr>
        <w:t xml:space="preserve">Status and trends in water quality at selected sites in the st. </w:t>
      </w:r>
      <w:proofErr w:type="gramStart"/>
      <w:r w:rsidRPr="00A73537">
        <w:rPr>
          <w:rFonts w:ascii="Times New Roman" w:hAnsi="Times New Roman" w:cs="Times New Roman"/>
          <w:i/>
          <w:iCs/>
          <w:sz w:val="24"/>
          <w:szCs w:val="24"/>
        </w:rPr>
        <w:t>Johns river</w:t>
      </w:r>
      <w:proofErr w:type="gramEnd"/>
      <w:r w:rsidRPr="00A73537">
        <w:rPr>
          <w:rFonts w:ascii="Times New Roman" w:hAnsi="Times New Roman" w:cs="Times New Roman"/>
          <w:i/>
          <w:iCs/>
          <w:sz w:val="24"/>
          <w:szCs w:val="24"/>
        </w:rPr>
        <w:t xml:space="preserve"> water management district</w:t>
      </w:r>
      <w:r w:rsidRPr="00A73537">
        <w:rPr>
          <w:rFonts w:ascii="Times New Roman" w:hAnsi="Times New Roman" w:cs="Times New Roman"/>
          <w:sz w:val="24"/>
          <w:szCs w:val="24"/>
        </w:rPr>
        <w:t>. Palatka, Florida.</w:t>
      </w:r>
    </w:p>
    <w:p w14:paraId="21A54590" w14:textId="58A7EB07" w:rsidR="00F04A05" w:rsidRPr="00A73537" w:rsidRDefault="00000000" w:rsidP="003B101C">
      <w:pPr>
        <w:pStyle w:val="Bibliography"/>
        <w:spacing w:line="480" w:lineRule="auto"/>
        <w:jc w:val="left"/>
        <w:rPr>
          <w:rFonts w:ascii="Times New Roman" w:hAnsi="Times New Roman" w:cs="Times New Roman"/>
          <w:sz w:val="24"/>
          <w:szCs w:val="24"/>
        </w:rPr>
      </w:pPr>
      <w:bookmarkStart w:id="39" w:name="ref-mgcv"/>
      <w:bookmarkEnd w:id="38"/>
      <w:r w:rsidRPr="00A73537">
        <w:rPr>
          <w:rFonts w:ascii="Times New Roman" w:hAnsi="Times New Roman" w:cs="Times New Roman"/>
          <w:sz w:val="24"/>
          <w:szCs w:val="24"/>
        </w:rPr>
        <w:t>Wood, S. N. 2011. Fast stable restricted maximum likelihood and marginal likelihood estimation of semiparametric generalized linear models 73: 3–36.</w:t>
      </w:r>
    </w:p>
    <w:p w14:paraId="3CF0574A"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4B7167CC" w14:textId="42D46D62" w:rsidR="00681769" w:rsidRPr="00A73537" w:rsidRDefault="00F04A05" w:rsidP="003B101C">
      <w:pPr>
        <w:pStyle w:val="Bibliography"/>
        <w:spacing w:line="480" w:lineRule="auto"/>
        <w:jc w:val="left"/>
        <w:rPr>
          <w:rFonts w:ascii="Times New Roman" w:hAnsi="Times New Roman" w:cs="Times New Roman"/>
          <w:sz w:val="24"/>
          <w:szCs w:val="24"/>
        </w:rPr>
      </w:pPr>
      <w:r w:rsidRPr="00A73537">
        <w:rPr>
          <w:rFonts w:ascii="Times New Roman" w:hAnsi="Times New Roman" w:cs="Times New Roman"/>
          <w:b/>
          <w:bCs/>
          <w:sz w:val="24"/>
          <w:szCs w:val="24"/>
        </w:rPr>
        <w:lastRenderedPageBreak/>
        <w:t>Table 1</w:t>
      </w:r>
      <w:r w:rsidRPr="00A73537">
        <w:rPr>
          <w:rFonts w:ascii="Times New Roman" w:hAnsi="Times New Roman" w:cs="Times New Roman"/>
          <w:sz w:val="24"/>
          <w:szCs w:val="24"/>
        </w:rPr>
        <w:t xml:space="preserve">. Generalized additive model output for models fit to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timeseries at Pine Island, San Sebastian, Fort Matanzas, and Pellicer Creek with the Guana Tolomato Matanzas National Estuarine Research Reserve. </w:t>
      </w:r>
      <w:r w:rsidR="00A73537" w:rsidRPr="00A73537">
        <w:rPr>
          <w:rFonts w:ascii="Times New Roman" w:hAnsi="Times New Roman" w:cs="Times New Roman"/>
          <w:sz w:val="24"/>
          <w:szCs w:val="24"/>
        </w:rPr>
        <w:t>Estimated degrees of freedom (</w:t>
      </w:r>
      <w:proofErr w:type="spellStart"/>
      <w:r w:rsidR="00A73537" w:rsidRPr="00A73537">
        <w:rPr>
          <w:rFonts w:ascii="Times New Roman" w:hAnsi="Times New Roman" w:cs="Times New Roman"/>
          <w:sz w:val="24"/>
          <w:szCs w:val="24"/>
        </w:rPr>
        <w:t>edf</w:t>
      </w:r>
      <w:proofErr w:type="spellEnd"/>
      <w:r w:rsidR="00A73537" w:rsidRPr="00A73537">
        <w:rPr>
          <w:rFonts w:ascii="Times New Roman" w:hAnsi="Times New Roman" w:cs="Times New Roman"/>
          <w:sz w:val="24"/>
          <w:szCs w:val="24"/>
        </w:rPr>
        <w:t xml:space="preserve">) is a measure of </w:t>
      </w:r>
      <w:proofErr w:type="spellStart"/>
      <w:r w:rsidR="00A73537" w:rsidRPr="00A73537">
        <w:rPr>
          <w:rFonts w:ascii="Times New Roman" w:hAnsi="Times New Roman" w:cs="Times New Roman"/>
          <w:sz w:val="24"/>
          <w:szCs w:val="24"/>
        </w:rPr>
        <w:t>wiggliness</w:t>
      </w:r>
      <w:proofErr w:type="spellEnd"/>
      <w:r w:rsidR="00A73537" w:rsidRPr="00A73537">
        <w:rPr>
          <w:rFonts w:ascii="Times New Roman" w:hAnsi="Times New Roman" w:cs="Times New Roman"/>
          <w:sz w:val="24"/>
          <w:szCs w:val="24"/>
        </w:rPr>
        <w:t xml:space="preserve"> of the smooth term </w:t>
      </w:r>
      <w:r w:rsidR="00A73537" w:rsidRPr="00A73537">
        <w:rPr>
          <w:rFonts w:ascii="Times New Roman" w:hAnsi="Times New Roman" w:cs="Times New Roman"/>
          <w:i/>
          <w:iCs/>
          <w:sz w:val="24"/>
          <w:szCs w:val="24"/>
        </w:rPr>
        <w:t>s</w:t>
      </w:r>
      <w:r w:rsidR="00A73537" w:rsidRPr="00A73537">
        <w:rPr>
          <w:rFonts w:ascii="Times New Roman" w:hAnsi="Times New Roman" w:cs="Times New Roman"/>
          <w:sz w:val="24"/>
          <w:szCs w:val="24"/>
        </w:rPr>
        <w:t>(“</w:t>
      </w:r>
      <w:proofErr w:type="spellStart"/>
      <w:r w:rsidR="00A73537" w:rsidRPr="00A73537">
        <w:rPr>
          <w:rFonts w:ascii="Times New Roman" w:hAnsi="Times New Roman" w:cs="Times New Roman"/>
          <w:sz w:val="24"/>
          <w:szCs w:val="24"/>
        </w:rPr>
        <w:t>cont_year</w:t>
      </w:r>
      <w:proofErr w:type="spellEnd"/>
      <w:r w:rsidR="00A73537" w:rsidRPr="00A73537">
        <w:rPr>
          <w:rFonts w:ascii="Times New Roman" w:hAnsi="Times New Roman" w:cs="Times New Roman"/>
          <w:sz w:val="24"/>
          <w:szCs w:val="24"/>
        </w:rPr>
        <w:t xml:space="preserve">”), which is the </w:t>
      </w:r>
      <w:r w:rsidR="00A73537" w:rsidRPr="00A73537">
        <w:rPr>
          <w:rFonts w:ascii="Times New Roman" w:hAnsi="Times New Roman" w:cs="Times New Roman"/>
          <w:sz w:val="24"/>
          <w:szCs w:val="24"/>
        </w:rPr>
        <w:t>day of the year converted into a continuous numeric variable to represent annual effect</w:t>
      </w:r>
      <w:r w:rsidR="00A73537" w:rsidRPr="00A73537">
        <w:rPr>
          <w:rFonts w:ascii="Times New Roman" w:hAnsi="Times New Roman" w:cs="Times New Roman"/>
          <w:sz w:val="24"/>
          <w:szCs w:val="24"/>
        </w:rPr>
        <w:t>. Additional performance statistics are also provided as Akaike Information Criterion (AIC), generalized cross-validation scores (GCV), and adjusted r-squared values.</w:t>
      </w:r>
    </w:p>
    <w:tbl>
      <w:tblPr>
        <w:tblW w:w="5000" w:type="pct"/>
        <w:tblLook w:val="04A0" w:firstRow="1" w:lastRow="0" w:firstColumn="1" w:lastColumn="0" w:noHBand="0" w:noVBand="1"/>
      </w:tblPr>
      <w:tblGrid>
        <w:gridCol w:w="1596"/>
        <w:gridCol w:w="1191"/>
        <w:gridCol w:w="1062"/>
        <w:gridCol w:w="1062"/>
        <w:gridCol w:w="1062"/>
        <w:gridCol w:w="1281"/>
        <w:gridCol w:w="2322"/>
      </w:tblGrid>
      <w:tr w:rsidR="00A73537" w:rsidRPr="00A73537" w14:paraId="6D118117" w14:textId="77777777" w:rsidTr="00A73537">
        <w:trPr>
          <w:trHeight w:val="300"/>
        </w:trPr>
        <w:tc>
          <w:tcPr>
            <w:tcW w:w="774" w:type="pct"/>
            <w:tcBorders>
              <w:top w:val="single" w:sz="4" w:space="0" w:color="auto"/>
              <w:left w:val="nil"/>
              <w:bottom w:val="single" w:sz="4" w:space="0" w:color="auto"/>
              <w:right w:val="nil"/>
            </w:tcBorders>
            <w:shd w:val="clear" w:color="auto" w:fill="auto"/>
            <w:noWrap/>
            <w:vAlign w:val="bottom"/>
            <w:hideMark/>
          </w:tcPr>
          <w:p w14:paraId="37D858D2" w14:textId="77777777" w:rsidR="00F04A05" w:rsidRPr="00F04A05" w:rsidRDefault="00F04A05" w:rsidP="00F04A05">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Station</w:t>
            </w:r>
          </w:p>
        </w:tc>
        <w:tc>
          <w:tcPr>
            <w:tcW w:w="652" w:type="pct"/>
            <w:tcBorders>
              <w:top w:val="single" w:sz="4" w:space="0" w:color="auto"/>
              <w:left w:val="nil"/>
              <w:bottom w:val="single" w:sz="4" w:space="0" w:color="auto"/>
              <w:right w:val="nil"/>
            </w:tcBorders>
            <w:shd w:val="clear" w:color="auto" w:fill="auto"/>
            <w:noWrap/>
            <w:vAlign w:val="bottom"/>
            <w:hideMark/>
          </w:tcPr>
          <w:p w14:paraId="01D448DC"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proofErr w:type="spellStart"/>
            <w:r w:rsidRPr="00F04A05">
              <w:rPr>
                <w:rFonts w:ascii="Times New Roman" w:eastAsia="Times New Roman" w:hAnsi="Times New Roman" w:cs="Times New Roman"/>
                <w:color w:val="000000"/>
                <w:sz w:val="24"/>
                <w:szCs w:val="24"/>
              </w:rPr>
              <w:t>edf</w:t>
            </w:r>
            <w:proofErr w:type="spellEnd"/>
          </w:p>
        </w:tc>
        <w:tc>
          <w:tcPr>
            <w:tcW w:w="585" w:type="pct"/>
            <w:tcBorders>
              <w:top w:val="single" w:sz="4" w:space="0" w:color="auto"/>
              <w:left w:val="nil"/>
              <w:bottom w:val="single" w:sz="4" w:space="0" w:color="auto"/>
              <w:right w:val="nil"/>
            </w:tcBorders>
            <w:shd w:val="clear" w:color="auto" w:fill="auto"/>
            <w:noWrap/>
            <w:vAlign w:val="bottom"/>
            <w:hideMark/>
          </w:tcPr>
          <w:p w14:paraId="47FBC7DC" w14:textId="77777777" w:rsidR="00F04A05" w:rsidRPr="00F04A05" w:rsidRDefault="00F04A05" w:rsidP="00A73537">
            <w:pPr>
              <w:spacing w:after="0" w:line="240" w:lineRule="auto"/>
              <w:jc w:val="right"/>
              <w:rPr>
                <w:rFonts w:ascii="Times New Roman" w:eastAsia="Times New Roman" w:hAnsi="Times New Roman" w:cs="Times New Roman"/>
                <w:i/>
                <w:iCs/>
                <w:color w:val="000000"/>
                <w:sz w:val="24"/>
                <w:szCs w:val="24"/>
              </w:rPr>
            </w:pPr>
            <w:r w:rsidRPr="00F04A05">
              <w:rPr>
                <w:rFonts w:ascii="Times New Roman" w:eastAsia="Times New Roman" w:hAnsi="Times New Roman" w:cs="Times New Roman"/>
                <w:i/>
                <w:iCs/>
                <w:color w:val="000000"/>
                <w:sz w:val="24"/>
                <w:szCs w:val="24"/>
              </w:rPr>
              <w:t>p</w:t>
            </w:r>
          </w:p>
        </w:tc>
        <w:tc>
          <w:tcPr>
            <w:tcW w:w="585" w:type="pct"/>
            <w:tcBorders>
              <w:top w:val="single" w:sz="4" w:space="0" w:color="auto"/>
              <w:left w:val="nil"/>
              <w:bottom w:val="single" w:sz="4" w:space="0" w:color="auto"/>
              <w:right w:val="nil"/>
            </w:tcBorders>
            <w:shd w:val="clear" w:color="auto" w:fill="auto"/>
            <w:noWrap/>
            <w:vAlign w:val="bottom"/>
            <w:hideMark/>
          </w:tcPr>
          <w:p w14:paraId="212F15A6"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 xml:space="preserve">AIC </w:t>
            </w:r>
          </w:p>
        </w:tc>
        <w:tc>
          <w:tcPr>
            <w:tcW w:w="585" w:type="pct"/>
            <w:tcBorders>
              <w:top w:val="single" w:sz="4" w:space="0" w:color="auto"/>
              <w:left w:val="nil"/>
              <w:bottom w:val="single" w:sz="4" w:space="0" w:color="auto"/>
              <w:right w:val="nil"/>
            </w:tcBorders>
            <w:shd w:val="clear" w:color="auto" w:fill="auto"/>
            <w:noWrap/>
            <w:vAlign w:val="bottom"/>
            <w:hideMark/>
          </w:tcPr>
          <w:p w14:paraId="265E39CD"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GCV</w:t>
            </w:r>
          </w:p>
        </w:tc>
        <w:tc>
          <w:tcPr>
            <w:tcW w:w="699" w:type="pct"/>
            <w:tcBorders>
              <w:top w:val="single" w:sz="4" w:space="0" w:color="auto"/>
              <w:left w:val="nil"/>
              <w:bottom w:val="single" w:sz="4" w:space="0" w:color="auto"/>
              <w:right w:val="nil"/>
            </w:tcBorders>
            <w:shd w:val="clear" w:color="auto" w:fill="auto"/>
            <w:noWrap/>
            <w:vAlign w:val="bottom"/>
            <w:hideMark/>
          </w:tcPr>
          <w:p w14:paraId="07DC45AB"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Adj. R</w:t>
            </w:r>
            <w:r w:rsidRPr="00F04A05">
              <w:rPr>
                <w:rFonts w:ascii="Times New Roman" w:eastAsia="Times New Roman" w:hAnsi="Times New Roman" w:cs="Times New Roman"/>
                <w:color w:val="000000"/>
                <w:sz w:val="24"/>
                <w:szCs w:val="24"/>
                <w:vertAlign w:val="superscript"/>
              </w:rPr>
              <w:t>2</w:t>
            </w:r>
          </w:p>
        </w:tc>
        <w:tc>
          <w:tcPr>
            <w:tcW w:w="1121" w:type="pct"/>
            <w:tcBorders>
              <w:top w:val="single" w:sz="4" w:space="0" w:color="auto"/>
              <w:left w:val="nil"/>
              <w:bottom w:val="single" w:sz="4" w:space="0" w:color="auto"/>
              <w:right w:val="nil"/>
            </w:tcBorders>
            <w:shd w:val="clear" w:color="auto" w:fill="auto"/>
            <w:noWrap/>
            <w:vAlign w:val="bottom"/>
            <w:hideMark/>
          </w:tcPr>
          <w:p w14:paraId="28695C95"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 xml:space="preserve">% deviance explained </w:t>
            </w:r>
          </w:p>
        </w:tc>
      </w:tr>
      <w:tr w:rsidR="00A73537" w:rsidRPr="00A73537" w14:paraId="3E800EEB" w14:textId="77777777" w:rsidTr="00A73537">
        <w:trPr>
          <w:trHeight w:val="300"/>
        </w:trPr>
        <w:tc>
          <w:tcPr>
            <w:tcW w:w="774" w:type="pct"/>
            <w:tcBorders>
              <w:top w:val="single" w:sz="4" w:space="0" w:color="auto"/>
              <w:left w:val="nil"/>
              <w:bottom w:val="nil"/>
              <w:right w:val="nil"/>
            </w:tcBorders>
            <w:shd w:val="clear" w:color="auto" w:fill="auto"/>
            <w:noWrap/>
            <w:vAlign w:val="bottom"/>
            <w:hideMark/>
          </w:tcPr>
          <w:p w14:paraId="53923BB3" w14:textId="53A4B5FD"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P</w:t>
            </w:r>
            <w:r w:rsidRPr="00A73537">
              <w:rPr>
                <w:rFonts w:ascii="Times New Roman" w:eastAsia="Times New Roman" w:hAnsi="Times New Roman" w:cs="Times New Roman"/>
                <w:color w:val="000000"/>
                <w:sz w:val="24"/>
                <w:szCs w:val="24"/>
              </w:rPr>
              <w:t>ine Island</w:t>
            </w:r>
          </w:p>
        </w:tc>
        <w:tc>
          <w:tcPr>
            <w:tcW w:w="652" w:type="pct"/>
            <w:tcBorders>
              <w:top w:val="single" w:sz="4" w:space="0" w:color="auto"/>
              <w:left w:val="nil"/>
              <w:bottom w:val="nil"/>
              <w:right w:val="nil"/>
            </w:tcBorders>
            <w:shd w:val="clear" w:color="auto" w:fill="auto"/>
            <w:noWrap/>
            <w:hideMark/>
          </w:tcPr>
          <w:p w14:paraId="2C09350B" w14:textId="32774189"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83.326</w:t>
            </w:r>
          </w:p>
        </w:tc>
        <w:tc>
          <w:tcPr>
            <w:tcW w:w="585" w:type="pct"/>
            <w:tcBorders>
              <w:top w:val="single" w:sz="4" w:space="0" w:color="auto"/>
              <w:left w:val="nil"/>
              <w:bottom w:val="nil"/>
              <w:right w:val="nil"/>
            </w:tcBorders>
            <w:shd w:val="clear" w:color="auto" w:fill="auto"/>
            <w:noWrap/>
            <w:vAlign w:val="bottom"/>
            <w:hideMark/>
          </w:tcPr>
          <w:p w14:paraId="7844B9D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single" w:sz="4" w:space="0" w:color="auto"/>
              <w:left w:val="nil"/>
              <w:bottom w:val="nil"/>
              <w:right w:val="nil"/>
            </w:tcBorders>
            <w:shd w:val="clear" w:color="auto" w:fill="auto"/>
            <w:noWrap/>
            <w:vAlign w:val="bottom"/>
            <w:hideMark/>
          </w:tcPr>
          <w:p w14:paraId="7F9B4F70"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-185.29</w:t>
            </w:r>
          </w:p>
        </w:tc>
        <w:tc>
          <w:tcPr>
            <w:tcW w:w="585" w:type="pct"/>
            <w:tcBorders>
              <w:top w:val="single" w:sz="4" w:space="0" w:color="auto"/>
              <w:left w:val="nil"/>
              <w:bottom w:val="nil"/>
              <w:right w:val="nil"/>
            </w:tcBorders>
            <w:shd w:val="clear" w:color="auto" w:fill="auto"/>
            <w:noWrap/>
            <w:vAlign w:val="bottom"/>
            <w:hideMark/>
          </w:tcPr>
          <w:p w14:paraId="04437B25"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0.031</w:t>
            </w:r>
          </w:p>
        </w:tc>
        <w:tc>
          <w:tcPr>
            <w:tcW w:w="699" w:type="pct"/>
            <w:tcBorders>
              <w:top w:val="single" w:sz="4" w:space="0" w:color="auto"/>
              <w:left w:val="nil"/>
              <w:bottom w:val="nil"/>
              <w:right w:val="nil"/>
            </w:tcBorders>
            <w:shd w:val="clear" w:color="auto" w:fill="auto"/>
            <w:noWrap/>
            <w:vAlign w:val="bottom"/>
            <w:hideMark/>
          </w:tcPr>
          <w:p w14:paraId="2BD7ECDF"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0.631</w:t>
            </w:r>
          </w:p>
        </w:tc>
        <w:tc>
          <w:tcPr>
            <w:tcW w:w="1121" w:type="pct"/>
            <w:tcBorders>
              <w:top w:val="single" w:sz="4" w:space="0" w:color="auto"/>
              <w:left w:val="nil"/>
              <w:bottom w:val="nil"/>
              <w:right w:val="nil"/>
            </w:tcBorders>
            <w:shd w:val="clear" w:color="auto" w:fill="auto"/>
            <w:noWrap/>
            <w:vAlign w:val="bottom"/>
            <w:hideMark/>
          </w:tcPr>
          <w:p w14:paraId="15A6E3DB"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76.2</w:t>
            </w:r>
          </w:p>
        </w:tc>
      </w:tr>
      <w:tr w:rsidR="00A73537" w:rsidRPr="00A73537" w14:paraId="6E0F6356" w14:textId="77777777" w:rsidTr="00A73537">
        <w:trPr>
          <w:trHeight w:val="300"/>
        </w:trPr>
        <w:tc>
          <w:tcPr>
            <w:tcW w:w="774" w:type="pct"/>
            <w:tcBorders>
              <w:top w:val="nil"/>
              <w:left w:val="nil"/>
              <w:bottom w:val="nil"/>
              <w:right w:val="nil"/>
            </w:tcBorders>
            <w:shd w:val="clear" w:color="auto" w:fill="auto"/>
            <w:noWrap/>
            <w:vAlign w:val="bottom"/>
            <w:hideMark/>
          </w:tcPr>
          <w:p w14:paraId="51C9165A" w14:textId="0B0734D4"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S</w:t>
            </w:r>
            <w:r w:rsidRPr="00A73537">
              <w:rPr>
                <w:rFonts w:ascii="Times New Roman" w:eastAsia="Times New Roman" w:hAnsi="Times New Roman" w:cs="Times New Roman"/>
                <w:color w:val="000000"/>
                <w:sz w:val="24"/>
                <w:szCs w:val="24"/>
              </w:rPr>
              <w:t>an Sebastian</w:t>
            </w:r>
          </w:p>
        </w:tc>
        <w:tc>
          <w:tcPr>
            <w:tcW w:w="652" w:type="pct"/>
            <w:tcBorders>
              <w:top w:val="nil"/>
              <w:left w:val="nil"/>
              <w:bottom w:val="nil"/>
              <w:right w:val="nil"/>
            </w:tcBorders>
            <w:shd w:val="clear" w:color="auto" w:fill="auto"/>
            <w:noWrap/>
            <w:hideMark/>
          </w:tcPr>
          <w:p w14:paraId="2A6B5164" w14:textId="13666290"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76.291</w:t>
            </w:r>
          </w:p>
        </w:tc>
        <w:tc>
          <w:tcPr>
            <w:tcW w:w="585" w:type="pct"/>
            <w:tcBorders>
              <w:top w:val="nil"/>
              <w:left w:val="nil"/>
              <w:bottom w:val="nil"/>
              <w:right w:val="nil"/>
            </w:tcBorders>
            <w:shd w:val="clear" w:color="auto" w:fill="auto"/>
            <w:noWrap/>
            <w:vAlign w:val="bottom"/>
            <w:hideMark/>
          </w:tcPr>
          <w:p w14:paraId="721E22DF"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092CB209"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-236.69</w:t>
            </w:r>
          </w:p>
        </w:tc>
        <w:tc>
          <w:tcPr>
            <w:tcW w:w="585" w:type="pct"/>
            <w:tcBorders>
              <w:top w:val="nil"/>
              <w:left w:val="nil"/>
              <w:bottom w:val="nil"/>
              <w:right w:val="nil"/>
            </w:tcBorders>
            <w:shd w:val="clear" w:color="auto" w:fill="auto"/>
            <w:noWrap/>
            <w:vAlign w:val="bottom"/>
            <w:hideMark/>
          </w:tcPr>
          <w:p w14:paraId="12B6C1D6"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0.024</w:t>
            </w:r>
          </w:p>
        </w:tc>
        <w:tc>
          <w:tcPr>
            <w:tcW w:w="699" w:type="pct"/>
            <w:tcBorders>
              <w:top w:val="nil"/>
              <w:left w:val="nil"/>
              <w:bottom w:val="nil"/>
              <w:right w:val="nil"/>
            </w:tcBorders>
            <w:shd w:val="clear" w:color="auto" w:fill="auto"/>
            <w:noWrap/>
            <w:vAlign w:val="bottom"/>
            <w:hideMark/>
          </w:tcPr>
          <w:p w14:paraId="0836FBEC"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0.617</w:t>
            </w:r>
          </w:p>
        </w:tc>
        <w:tc>
          <w:tcPr>
            <w:tcW w:w="1121" w:type="pct"/>
            <w:tcBorders>
              <w:top w:val="nil"/>
              <w:left w:val="nil"/>
              <w:bottom w:val="nil"/>
              <w:right w:val="nil"/>
            </w:tcBorders>
            <w:shd w:val="clear" w:color="auto" w:fill="auto"/>
            <w:noWrap/>
            <w:vAlign w:val="bottom"/>
            <w:hideMark/>
          </w:tcPr>
          <w:p w14:paraId="406B43A8"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74.3</w:t>
            </w:r>
          </w:p>
        </w:tc>
      </w:tr>
      <w:tr w:rsidR="00A73537" w:rsidRPr="00A73537" w14:paraId="3B43EBCE" w14:textId="77777777" w:rsidTr="00A73537">
        <w:trPr>
          <w:trHeight w:val="300"/>
        </w:trPr>
        <w:tc>
          <w:tcPr>
            <w:tcW w:w="774" w:type="pct"/>
            <w:tcBorders>
              <w:top w:val="nil"/>
              <w:left w:val="nil"/>
              <w:bottom w:val="nil"/>
              <w:right w:val="nil"/>
            </w:tcBorders>
            <w:shd w:val="clear" w:color="auto" w:fill="auto"/>
            <w:noWrap/>
            <w:vAlign w:val="bottom"/>
            <w:hideMark/>
          </w:tcPr>
          <w:p w14:paraId="5F62DC3E" w14:textId="4D6740AF"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A73537">
              <w:rPr>
                <w:rFonts w:ascii="Times New Roman" w:eastAsia="Times New Roman" w:hAnsi="Times New Roman" w:cs="Times New Roman"/>
                <w:color w:val="000000"/>
                <w:sz w:val="24"/>
                <w:szCs w:val="24"/>
              </w:rPr>
              <w:t>Fort Matanzas</w:t>
            </w:r>
          </w:p>
        </w:tc>
        <w:tc>
          <w:tcPr>
            <w:tcW w:w="652" w:type="pct"/>
            <w:tcBorders>
              <w:top w:val="nil"/>
              <w:left w:val="nil"/>
              <w:bottom w:val="nil"/>
              <w:right w:val="nil"/>
            </w:tcBorders>
            <w:shd w:val="clear" w:color="auto" w:fill="auto"/>
            <w:noWrap/>
            <w:hideMark/>
          </w:tcPr>
          <w:p w14:paraId="6EA8160E" w14:textId="7FA054A0"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102.870</w:t>
            </w:r>
          </w:p>
        </w:tc>
        <w:tc>
          <w:tcPr>
            <w:tcW w:w="585" w:type="pct"/>
            <w:tcBorders>
              <w:top w:val="nil"/>
              <w:left w:val="nil"/>
              <w:bottom w:val="nil"/>
              <w:right w:val="nil"/>
            </w:tcBorders>
            <w:shd w:val="clear" w:color="auto" w:fill="auto"/>
            <w:noWrap/>
            <w:vAlign w:val="bottom"/>
            <w:hideMark/>
          </w:tcPr>
          <w:p w14:paraId="416307A1"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0F287EB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-243.43</w:t>
            </w:r>
          </w:p>
        </w:tc>
        <w:tc>
          <w:tcPr>
            <w:tcW w:w="585" w:type="pct"/>
            <w:tcBorders>
              <w:top w:val="nil"/>
              <w:left w:val="nil"/>
              <w:bottom w:val="nil"/>
              <w:right w:val="nil"/>
            </w:tcBorders>
            <w:shd w:val="clear" w:color="auto" w:fill="auto"/>
            <w:noWrap/>
            <w:vAlign w:val="bottom"/>
            <w:hideMark/>
          </w:tcPr>
          <w:p w14:paraId="1F92C49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0.027</w:t>
            </w:r>
          </w:p>
        </w:tc>
        <w:tc>
          <w:tcPr>
            <w:tcW w:w="699" w:type="pct"/>
            <w:tcBorders>
              <w:top w:val="nil"/>
              <w:left w:val="nil"/>
              <w:bottom w:val="nil"/>
              <w:right w:val="nil"/>
            </w:tcBorders>
            <w:shd w:val="clear" w:color="auto" w:fill="auto"/>
            <w:noWrap/>
            <w:vAlign w:val="bottom"/>
            <w:hideMark/>
          </w:tcPr>
          <w:p w14:paraId="5C8BD97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0.762</w:t>
            </w:r>
          </w:p>
        </w:tc>
        <w:tc>
          <w:tcPr>
            <w:tcW w:w="1121" w:type="pct"/>
            <w:tcBorders>
              <w:top w:val="nil"/>
              <w:left w:val="nil"/>
              <w:bottom w:val="nil"/>
              <w:right w:val="nil"/>
            </w:tcBorders>
            <w:shd w:val="clear" w:color="auto" w:fill="auto"/>
            <w:noWrap/>
            <w:vAlign w:val="bottom"/>
            <w:hideMark/>
          </w:tcPr>
          <w:p w14:paraId="7C21E465"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86.6</w:t>
            </w:r>
          </w:p>
        </w:tc>
      </w:tr>
      <w:tr w:rsidR="00A73537" w:rsidRPr="00A73537" w14:paraId="58B2ECCE" w14:textId="77777777" w:rsidTr="00A73537">
        <w:trPr>
          <w:trHeight w:val="300"/>
        </w:trPr>
        <w:tc>
          <w:tcPr>
            <w:tcW w:w="774" w:type="pct"/>
            <w:tcBorders>
              <w:top w:val="nil"/>
              <w:left w:val="nil"/>
              <w:bottom w:val="nil"/>
              <w:right w:val="nil"/>
            </w:tcBorders>
            <w:shd w:val="clear" w:color="auto" w:fill="auto"/>
            <w:noWrap/>
            <w:vAlign w:val="bottom"/>
            <w:hideMark/>
          </w:tcPr>
          <w:p w14:paraId="37BA1414" w14:textId="58700DC6"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A73537">
              <w:rPr>
                <w:rFonts w:ascii="Times New Roman" w:eastAsia="Times New Roman" w:hAnsi="Times New Roman" w:cs="Times New Roman"/>
                <w:color w:val="000000"/>
                <w:sz w:val="24"/>
                <w:szCs w:val="24"/>
              </w:rPr>
              <w:t>Pellicer Creek</w:t>
            </w:r>
          </w:p>
        </w:tc>
        <w:tc>
          <w:tcPr>
            <w:tcW w:w="652" w:type="pct"/>
            <w:tcBorders>
              <w:top w:val="nil"/>
              <w:left w:val="nil"/>
              <w:bottom w:val="nil"/>
              <w:right w:val="nil"/>
            </w:tcBorders>
            <w:shd w:val="clear" w:color="auto" w:fill="auto"/>
            <w:noWrap/>
            <w:hideMark/>
          </w:tcPr>
          <w:p w14:paraId="78A11FB9" w14:textId="32E095D2"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72.590</w:t>
            </w:r>
          </w:p>
        </w:tc>
        <w:tc>
          <w:tcPr>
            <w:tcW w:w="585" w:type="pct"/>
            <w:tcBorders>
              <w:top w:val="nil"/>
              <w:left w:val="nil"/>
              <w:bottom w:val="nil"/>
              <w:right w:val="nil"/>
            </w:tcBorders>
            <w:shd w:val="clear" w:color="auto" w:fill="auto"/>
            <w:noWrap/>
            <w:vAlign w:val="bottom"/>
            <w:hideMark/>
          </w:tcPr>
          <w:p w14:paraId="584B01F4"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5096D05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55.91</w:t>
            </w:r>
          </w:p>
        </w:tc>
        <w:tc>
          <w:tcPr>
            <w:tcW w:w="585" w:type="pct"/>
            <w:tcBorders>
              <w:top w:val="nil"/>
              <w:left w:val="nil"/>
              <w:bottom w:val="nil"/>
              <w:right w:val="nil"/>
            </w:tcBorders>
            <w:shd w:val="clear" w:color="auto" w:fill="auto"/>
            <w:noWrap/>
            <w:vAlign w:val="bottom"/>
            <w:hideMark/>
          </w:tcPr>
          <w:p w14:paraId="44C2BC18"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0.084</w:t>
            </w:r>
          </w:p>
        </w:tc>
        <w:tc>
          <w:tcPr>
            <w:tcW w:w="699" w:type="pct"/>
            <w:tcBorders>
              <w:top w:val="nil"/>
              <w:left w:val="nil"/>
              <w:bottom w:val="nil"/>
              <w:right w:val="nil"/>
            </w:tcBorders>
            <w:shd w:val="clear" w:color="auto" w:fill="auto"/>
            <w:noWrap/>
            <w:vAlign w:val="bottom"/>
            <w:hideMark/>
          </w:tcPr>
          <w:p w14:paraId="7DB6CA8B"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0.582</w:t>
            </w:r>
          </w:p>
        </w:tc>
        <w:tc>
          <w:tcPr>
            <w:tcW w:w="1121" w:type="pct"/>
            <w:tcBorders>
              <w:top w:val="nil"/>
              <w:left w:val="nil"/>
              <w:bottom w:val="nil"/>
              <w:right w:val="nil"/>
            </w:tcBorders>
            <w:shd w:val="clear" w:color="auto" w:fill="auto"/>
            <w:noWrap/>
            <w:vAlign w:val="bottom"/>
            <w:hideMark/>
          </w:tcPr>
          <w:p w14:paraId="688530E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71.3</w:t>
            </w:r>
          </w:p>
        </w:tc>
      </w:tr>
    </w:tbl>
    <w:p w14:paraId="3B276775" w14:textId="2F598DF1" w:rsidR="00F04A05" w:rsidRDefault="00F04A05" w:rsidP="00F04A05">
      <w:pPr>
        <w:pStyle w:val="Bibliography"/>
        <w:spacing w:line="480" w:lineRule="auto"/>
        <w:rPr>
          <w:rFonts w:ascii="Times New Roman" w:hAnsi="Times New Roman" w:cs="Times New Roman"/>
          <w:sz w:val="24"/>
          <w:szCs w:val="24"/>
        </w:rPr>
      </w:pPr>
    </w:p>
    <w:p w14:paraId="70312674" w14:textId="53651D38" w:rsidR="00F32A49" w:rsidRDefault="00F32A49">
      <w:pPr>
        <w:rPr>
          <w:rFonts w:ascii="Times New Roman" w:hAnsi="Times New Roman" w:cs="Times New Roman"/>
          <w:sz w:val="24"/>
          <w:szCs w:val="24"/>
        </w:rPr>
      </w:pPr>
      <w:r>
        <w:rPr>
          <w:rFonts w:ascii="Times New Roman" w:hAnsi="Times New Roman" w:cs="Times New Roman"/>
          <w:sz w:val="24"/>
          <w:szCs w:val="24"/>
        </w:rPr>
        <w:br w:type="page"/>
      </w:r>
    </w:p>
    <w:p w14:paraId="691ED33E" w14:textId="6AB167E5" w:rsidR="00F32A49" w:rsidRDefault="00F32A49" w:rsidP="003B101C">
      <w:pPr>
        <w:pStyle w:val="Bibliography"/>
        <w:spacing w:line="480" w:lineRule="auto"/>
        <w:jc w:val="left"/>
        <w:rPr>
          <w:rFonts w:ascii="Times New Roman" w:hAnsi="Times New Roman" w:cs="Times New Roman"/>
          <w:sz w:val="24"/>
          <w:szCs w:val="24"/>
        </w:rPr>
      </w:pPr>
      <w:r w:rsidRPr="00F32A49">
        <w:rPr>
          <w:rFonts w:ascii="Times New Roman" w:hAnsi="Times New Roman" w:cs="Times New Roman"/>
          <w:b/>
          <w:bCs/>
          <w:sz w:val="24"/>
          <w:szCs w:val="24"/>
        </w:rPr>
        <w:lastRenderedPageBreak/>
        <w:t>Table 2</w:t>
      </w:r>
      <w:r>
        <w:rPr>
          <w:rFonts w:ascii="Times New Roman" w:hAnsi="Times New Roman" w:cs="Times New Roman"/>
          <w:sz w:val="24"/>
          <w:szCs w:val="24"/>
        </w:rPr>
        <w:t xml:space="preserve">. </w:t>
      </w:r>
      <w:r w:rsidRPr="00F32A49">
        <w:rPr>
          <w:rFonts w:ascii="Times New Roman" w:hAnsi="Times New Roman" w:cs="Times New Roman"/>
          <w:sz w:val="24"/>
          <w:szCs w:val="24"/>
        </w:rPr>
        <w:t xml:space="preserve">Standard deviations of </w:t>
      </w:r>
      <w:r w:rsidRPr="00A73537">
        <w:rPr>
          <w:rFonts w:ascii="Times New Roman" w:hAnsi="Times New Roman" w:cs="Times New Roman"/>
          <w:sz w:val="24"/>
          <w:szCs w:val="24"/>
        </w:rPr>
        <w:t xml:space="preserve">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r w:rsidRPr="00F32A49">
        <w:rPr>
          <w:rFonts w:ascii="Times New Roman" w:hAnsi="Times New Roman" w:cs="Times New Roman"/>
          <w:sz w:val="24"/>
          <w:szCs w:val="24"/>
        </w:rPr>
        <w:t xml:space="preserve">variability extracted from timeseries </w:t>
      </w:r>
      <w:r w:rsidRPr="00A73537">
        <w:rPr>
          <w:rFonts w:ascii="Times New Roman" w:hAnsi="Times New Roman" w:cs="Times New Roman"/>
          <w:sz w:val="24"/>
          <w:szCs w:val="24"/>
        </w:rPr>
        <w:t>at Pine Island, San Sebastian, Fort Matanzas, and Pellicer Creek with the Guana Tolomato Matanzas National Estuarine Research Reserve</w:t>
      </w:r>
      <w:r w:rsidRPr="00F32A49">
        <w:rPr>
          <w:rFonts w:ascii="Times New Roman" w:hAnsi="Times New Roman" w:cs="Times New Roman"/>
          <w:sz w:val="24"/>
          <w:szCs w:val="24"/>
        </w:rPr>
        <w:t>. The mean value of each of these (dimensionless) components is 1, so these standard deviations are equivalent to coefficients of variation.</w:t>
      </w:r>
    </w:p>
    <w:tbl>
      <w:tblPr>
        <w:tblW w:w="5860" w:type="dxa"/>
        <w:jc w:val="center"/>
        <w:tblLook w:val="04A0" w:firstRow="1" w:lastRow="0" w:firstColumn="1" w:lastColumn="0" w:noHBand="0" w:noVBand="1"/>
      </w:tblPr>
      <w:tblGrid>
        <w:gridCol w:w="1600"/>
        <w:gridCol w:w="1320"/>
        <w:gridCol w:w="1520"/>
        <w:gridCol w:w="1420"/>
      </w:tblGrid>
      <w:tr w:rsidR="00F32A49" w:rsidRPr="00F32A49" w14:paraId="0C8D5FA3" w14:textId="77777777" w:rsidTr="00F32A49">
        <w:trPr>
          <w:trHeight w:val="360"/>
          <w:jc w:val="center"/>
        </w:trPr>
        <w:tc>
          <w:tcPr>
            <w:tcW w:w="1600" w:type="dxa"/>
            <w:tcBorders>
              <w:top w:val="single" w:sz="4" w:space="0" w:color="auto"/>
              <w:bottom w:val="single" w:sz="4" w:space="0" w:color="auto"/>
            </w:tcBorders>
            <w:shd w:val="clear" w:color="000000" w:fill="FFFFFF"/>
            <w:noWrap/>
            <w:vAlign w:val="center"/>
            <w:hideMark/>
          </w:tcPr>
          <w:p w14:paraId="12B9F972" w14:textId="77777777"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Station</w:t>
            </w:r>
          </w:p>
        </w:tc>
        <w:tc>
          <w:tcPr>
            <w:tcW w:w="1320" w:type="dxa"/>
            <w:tcBorders>
              <w:top w:val="single" w:sz="4" w:space="0" w:color="auto"/>
              <w:bottom w:val="single" w:sz="4" w:space="0" w:color="auto"/>
            </w:tcBorders>
            <w:shd w:val="clear" w:color="000000" w:fill="FFFFFF"/>
            <w:noWrap/>
            <w:vAlign w:val="center"/>
            <w:hideMark/>
          </w:tcPr>
          <w:p w14:paraId="03A33D5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Annual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y</w:t>
            </w:r>
            <w:proofErr w:type="spellEnd"/>
            <w:r w:rsidRPr="00F32A49">
              <w:rPr>
                <w:rFonts w:ascii="Times New Roman" w:eastAsia="Times New Roman" w:hAnsi="Times New Roman" w:cs="Times New Roman"/>
                <w:color w:val="000000"/>
                <w:sz w:val="24"/>
                <w:szCs w:val="24"/>
              </w:rPr>
              <w:t>)</w:t>
            </w:r>
          </w:p>
        </w:tc>
        <w:tc>
          <w:tcPr>
            <w:tcW w:w="1520" w:type="dxa"/>
            <w:tcBorders>
              <w:top w:val="single" w:sz="4" w:space="0" w:color="auto"/>
              <w:bottom w:val="single" w:sz="4" w:space="0" w:color="auto"/>
            </w:tcBorders>
            <w:shd w:val="clear" w:color="000000" w:fill="FFFFFF"/>
            <w:noWrap/>
            <w:vAlign w:val="center"/>
            <w:hideMark/>
          </w:tcPr>
          <w:p w14:paraId="28760668"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Seasonal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m</w:t>
            </w:r>
            <w:proofErr w:type="spellEnd"/>
            <w:r w:rsidRPr="00F32A49">
              <w:rPr>
                <w:rFonts w:ascii="Times New Roman" w:eastAsia="Times New Roman" w:hAnsi="Times New Roman" w:cs="Times New Roman"/>
                <w:color w:val="000000"/>
                <w:sz w:val="24"/>
                <w:szCs w:val="24"/>
              </w:rPr>
              <w:t>)</w:t>
            </w:r>
          </w:p>
        </w:tc>
        <w:tc>
          <w:tcPr>
            <w:tcW w:w="1420" w:type="dxa"/>
            <w:tcBorders>
              <w:top w:val="single" w:sz="4" w:space="0" w:color="auto"/>
              <w:bottom w:val="single" w:sz="4" w:space="0" w:color="auto"/>
            </w:tcBorders>
            <w:shd w:val="clear" w:color="000000" w:fill="FFFFFF"/>
            <w:noWrap/>
            <w:vAlign w:val="center"/>
            <w:hideMark/>
          </w:tcPr>
          <w:p w14:paraId="52E093A7"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Residual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ɛ</w:t>
            </w:r>
            <w:proofErr w:type="spellEnd"/>
            <w:r w:rsidRPr="00F32A49">
              <w:rPr>
                <w:rFonts w:ascii="Times New Roman" w:eastAsia="Times New Roman" w:hAnsi="Times New Roman" w:cs="Times New Roman"/>
                <w:color w:val="000000"/>
                <w:sz w:val="24"/>
                <w:szCs w:val="24"/>
              </w:rPr>
              <w:t>)</w:t>
            </w:r>
          </w:p>
        </w:tc>
      </w:tr>
      <w:tr w:rsidR="00F32A49" w:rsidRPr="00F32A49" w14:paraId="69A6C83A" w14:textId="77777777" w:rsidTr="00F32A49">
        <w:trPr>
          <w:trHeight w:val="300"/>
          <w:jc w:val="center"/>
        </w:trPr>
        <w:tc>
          <w:tcPr>
            <w:tcW w:w="1600" w:type="dxa"/>
            <w:tcBorders>
              <w:top w:val="single" w:sz="4" w:space="0" w:color="auto"/>
            </w:tcBorders>
            <w:shd w:val="clear" w:color="000000" w:fill="FFFFFF"/>
            <w:noWrap/>
            <w:vAlign w:val="center"/>
            <w:hideMark/>
          </w:tcPr>
          <w:p w14:paraId="269AAE42" w14:textId="6A25D7F4"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Pine Island</w:t>
            </w:r>
          </w:p>
        </w:tc>
        <w:tc>
          <w:tcPr>
            <w:tcW w:w="1320" w:type="dxa"/>
            <w:tcBorders>
              <w:top w:val="single" w:sz="4" w:space="0" w:color="auto"/>
            </w:tcBorders>
            <w:shd w:val="clear" w:color="000000" w:fill="FFFFFF"/>
            <w:noWrap/>
            <w:vAlign w:val="center"/>
            <w:hideMark/>
          </w:tcPr>
          <w:p w14:paraId="171BDCB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0.23</w:t>
            </w:r>
          </w:p>
        </w:tc>
        <w:tc>
          <w:tcPr>
            <w:tcW w:w="1520" w:type="dxa"/>
            <w:tcBorders>
              <w:top w:val="single" w:sz="4" w:space="0" w:color="auto"/>
            </w:tcBorders>
            <w:shd w:val="clear" w:color="000000" w:fill="FFFFFF"/>
            <w:noWrap/>
            <w:vAlign w:val="center"/>
            <w:hideMark/>
          </w:tcPr>
          <w:p w14:paraId="22F0126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0.34</w:t>
            </w:r>
          </w:p>
        </w:tc>
        <w:tc>
          <w:tcPr>
            <w:tcW w:w="1420" w:type="dxa"/>
            <w:tcBorders>
              <w:top w:val="single" w:sz="4" w:space="0" w:color="auto"/>
            </w:tcBorders>
            <w:shd w:val="clear" w:color="000000" w:fill="FFFFFF"/>
            <w:noWrap/>
            <w:vAlign w:val="center"/>
            <w:hideMark/>
          </w:tcPr>
          <w:p w14:paraId="6EFFE2A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0.35</w:t>
            </w:r>
          </w:p>
        </w:tc>
      </w:tr>
      <w:tr w:rsidR="00F32A49" w:rsidRPr="00F32A49" w14:paraId="4F3ED901" w14:textId="77777777" w:rsidTr="00F32A49">
        <w:trPr>
          <w:trHeight w:val="300"/>
          <w:jc w:val="center"/>
        </w:trPr>
        <w:tc>
          <w:tcPr>
            <w:tcW w:w="1600" w:type="dxa"/>
            <w:shd w:val="clear" w:color="000000" w:fill="FFFFFF"/>
            <w:noWrap/>
            <w:vAlign w:val="center"/>
            <w:hideMark/>
          </w:tcPr>
          <w:p w14:paraId="3E5C55AD" w14:textId="646FC81C"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 Sebastian</w:t>
            </w:r>
          </w:p>
        </w:tc>
        <w:tc>
          <w:tcPr>
            <w:tcW w:w="1320" w:type="dxa"/>
            <w:shd w:val="clear" w:color="000000" w:fill="FFFFFF"/>
            <w:noWrap/>
            <w:vAlign w:val="center"/>
            <w:hideMark/>
          </w:tcPr>
          <w:p w14:paraId="774FAA4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0.23</w:t>
            </w:r>
          </w:p>
        </w:tc>
        <w:tc>
          <w:tcPr>
            <w:tcW w:w="1520" w:type="dxa"/>
            <w:shd w:val="clear" w:color="000000" w:fill="FFFFFF"/>
            <w:noWrap/>
            <w:vAlign w:val="center"/>
            <w:hideMark/>
          </w:tcPr>
          <w:p w14:paraId="4645781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0.22</w:t>
            </w:r>
          </w:p>
        </w:tc>
        <w:tc>
          <w:tcPr>
            <w:tcW w:w="1420" w:type="dxa"/>
            <w:shd w:val="clear" w:color="000000" w:fill="FFFFFF"/>
            <w:noWrap/>
            <w:vAlign w:val="center"/>
            <w:hideMark/>
          </w:tcPr>
          <w:p w14:paraId="721CA04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0.34</w:t>
            </w:r>
          </w:p>
        </w:tc>
      </w:tr>
      <w:tr w:rsidR="00F32A49" w:rsidRPr="00F32A49" w14:paraId="1897E531" w14:textId="77777777" w:rsidTr="00F32A49">
        <w:trPr>
          <w:trHeight w:val="300"/>
          <w:jc w:val="center"/>
        </w:trPr>
        <w:tc>
          <w:tcPr>
            <w:tcW w:w="1600" w:type="dxa"/>
            <w:shd w:val="clear" w:color="000000" w:fill="FFFFFF"/>
            <w:noWrap/>
            <w:vAlign w:val="center"/>
            <w:hideMark/>
          </w:tcPr>
          <w:p w14:paraId="3917E131" w14:textId="2316EDBC"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Fort Matanzas</w:t>
            </w:r>
          </w:p>
        </w:tc>
        <w:tc>
          <w:tcPr>
            <w:tcW w:w="1320" w:type="dxa"/>
            <w:shd w:val="clear" w:color="000000" w:fill="FFFFFF"/>
            <w:noWrap/>
            <w:vAlign w:val="center"/>
            <w:hideMark/>
          </w:tcPr>
          <w:p w14:paraId="6426E8D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0.24</w:t>
            </w:r>
          </w:p>
        </w:tc>
        <w:tc>
          <w:tcPr>
            <w:tcW w:w="1520" w:type="dxa"/>
            <w:shd w:val="clear" w:color="000000" w:fill="FFFFFF"/>
            <w:noWrap/>
            <w:vAlign w:val="center"/>
            <w:hideMark/>
          </w:tcPr>
          <w:p w14:paraId="43C0853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0.33</w:t>
            </w:r>
          </w:p>
        </w:tc>
        <w:tc>
          <w:tcPr>
            <w:tcW w:w="1420" w:type="dxa"/>
            <w:shd w:val="clear" w:color="000000" w:fill="FFFFFF"/>
            <w:noWrap/>
            <w:vAlign w:val="center"/>
            <w:hideMark/>
          </w:tcPr>
          <w:p w14:paraId="4BC3260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0.41</w:t>
            </w:r>
          </w:p>
        </w:tc>
      </w:tr>
      <w:tr w:rsidR="00F32A49" w:rsidRPr="00F32A49" w14:paraId="42F41B22" w14:textId="77777777" w:rsidTr="00F32A49">
        <w:trPr>
          <w:trHeight w:val="300"/>
          <w:jc w:val="center"/>
        </w:trPr>
        <w:tc>
          <w:tcPr>
            <w:tcW w:w="1600" w:type="dxa"/>
            <w:shd w:val="clear" w:color="000000" w:fill="FFFFFF"/>
            <w:noWrap/>
            <w:vAlign w:val="center"/>
            <w:hideMark/>
          </w:tcPr>
          <w:p w14:paraId="1640572E" w14:textId="12A0F025"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Pellicer Creek</w:t>
            </w:r>
          </w:p>
        </w:tc>
        <w:tc>
          <w:tcPr>
            <w:tcW w:w="1320" w:type="dxa"/>
            <w:shd w:val="clear" w:color="000000" w:fill="FFFFFF"/>
            <w:noWrap/>
            <w:vAlign w:val="center"/>
            <w:hideMark/>
          </w:tcPr>
          <w:p w14:paraId="3D5D330A"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0.35</w:t>
            </w:r>
          </w:p>
        </w:tc>
        <w:tc>
          <w:tcPr>
            <w:tcW w:w="1520" w:type="dxa"/>
            <w:shd w:val="clear" w:color="000000" w:fill="FFFFFF"/>
            <w:noWrap/>
            <w:vAlign w:val="center"/>
            <w:hideMark/>
          </w:tcPr>
          <w:p w14:paraId="3B7BCA5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0.41</w:t>
            </w:r>
          </w:p>
        </w:tc>
        <w:tc>
          <w:tcPr>
            <w:tcW w:w="1420" w:type="dxa"/>
            <w:shd w:val="clear" w:color="000000" w:fill="FFFFFF"/>
            <w:noWrap/>
            <w:vAlign w:val="center"/>
            <w:hideMark/>
          </w:tcPr>
          <w:p w14:paraId="170F59C8"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0.51</w:t>
            </w:r>
          </w:p>
        </w:tc>
      </w:tr>
      <w:bookmarkEnd w:id="10"/>
      <w:bookmarkEnd w:id="12"/>
      <w:bookmarkEnd w:id="39"/>
    </w:tbl>
    <w:p w14:paraId="5603710C" w14:textId="61B51E6F" w:rsidR="009074AE" w:rsidRDefault="009074AE" w:rsidP="00F04A05">
      <w:pPr>
        <w:pStyle w:val="Bibliography"/>
        <w:spacing w:line="480" w:lineRule="auto"/>
        <w:rPr>
          <w:rFonts w:ascii="Times New Roman" w:hAnsi="Times New Roman" w:cs="Times New Roman"/>
          <w:sz w:val="24"/>
          <w:szCs w:val="24"/>
        </w:rPr>
      </w:pPr>
    </w:p>
    <w:p w14:paraId="7C5D6BD3"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366BD41D" w14:textId="256B5B2C" w:rsidR="00F32A49" w:rsidRDefault="009074AE" w:rsidP="00F04A05">
      <w:pPr>
        <w:pStyle w:val="Bibliography"/>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Legends</w:t>
      </w:r>
    </w:p>
    <w:p w14:paraId="2070EB84" w14:textId="7980FE8E" w:rsidR="00E35A92" w:rsidRPr="00E35A92" w:rsidRDefault="00E35A92" w:rsidP="002B768E">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PI GAM and trend. </w:t>
      </w:r>
    </w:p>
    <w:p w14:paraId="1A7FFA27" w14:textId="1FB290FD" w:rsidR="002B768E" w:rsidRDefault="009074A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Figure PI variability</w:t>
      </w:r>
      <w:r>
        <w:rPr>
          <w:rFonts w:ascii="Times New Roman" w:hAnsi="Times New Roman" w:cs="Times New Roman"/>
          <w:sz w:val="24"/>
          <w:szCs w:val="24"/>
        </w:rPr>
        <w:t xml:space="preserve">. </w:t>
      </w:r>
      <w:r w:rsidR="002B768E">
        <w:rPr>
          <w:rFonts w:ascii="Times New Roman" w:hAnsi="Times New Roman" w:cs="Times New Roman"/>
          <w:sz w:val="24"/>
          <w:szCs w:val="24"/>
        </w:rPr>
        <w:t xml:space="preserve">Phytoplankton patterns of variability at Pine Island in the Guana Tolomato Matanzas estuary. Blue lines are monthly chlorophyll </w:t>
      </w:r>
      <w:r w:rsidR="002B768E">
        <w:rPr>
          <w:rFonts w:ascii="Times New Roman" w:hAnsi="Times New Roman" w:cs="Times New Roman"/>
          <w:i/>
          <w:iCs/>
          <w:sz w:val="24"/>
          <w:szCs w:val="24"/>
        </w:rPr>
        <w:t xml:space="preserve">a </w:t>
      </w:r>
      <w:proofErr w:type="gramStart"/>
      <w:r w:rsidR="002B768E">
        <w:rPr>
          <w:rFonts w:ascii="Times New Roman" w:hAnsi="Times New Roman" w:cs="Times New Roman"/>
          <w:sz w:val="24"/>
          <w:szCs w:val="24"/>
        </w:rPr>
        <w:t>values</w:t>
      </w:r>
      <w:proofErr w:type="gramEnd"/>
      <w:r w:rsidR="002B768E">
        <w:rPr>
          <w:rFonts w:ascii="Times New Roman" w:hAnsi="Times New Roman" w:cs="Times New Roman"/>
          <w:sz w:val="24"/>
          <w:szCs w:val="24"/>
        </w:rPr>
        <w:t xml:space="preserve">; red bars are annual components </w:t>
      </w:r>
      <w:r w:rsidR="002B768E">
        <w:rPr>
          <w:rFonts w:ascii="Times New Roman" w:hAnsi="Times New Roman" w:cs="Times New Roman"/>
          <w:i/>
          <w:iCs/>
          <w:sz w:val="24"/>
          <w:szCs w:val="24"/>
        </w:rPr>
        <w:t>y</w:t>
      </w:r>
      <w:r w:rsidR="002B768E">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sidR="002B768E">
        <w:rPr>
          <w:rFonts w:ascii="Times New Roman" w:hAnsi="Times New Roman" w:cs="Times New Roman"/>
          <w:sz w:val="24"/>
          <w:szCs w:val="24"/>
        </w:rPr>
        <w:t xml:space="preserve">; and green bars are standard seasonal patterns </w:t>
      </w:r>
      <w:r w:rsidR="002B768E">
        <w:rPr>
          <w:rFonts w:ascii="Times New Roman" w:hAnsi="Times New Roman" w:cs="Times New Roman"/>
          <w:i/>
          <w:iCs/>
          <w:sz w:val="24"/>
          <w:szCs w:val="24"/>
        </w:rPr>
        <w:t>m</w:t>
      </w:r>
      <w:r w:rsidR="002B768E">
        <w:rPr>
          <w:rFonts w:ascii="Times New Roman" w:hAnsi="Times New Roman" w:cs="Times New Roman"/>
          <w:sz w:val="24"/>
          <w:szCs w:val="24"/>
        </w:rPr>
        <w:t xml:space="preserve"> (Equation 1).</w:t>
      </w:r>
    </w:p>
    <w:p w14:paraId="65416835" w14:textId="031D8540" w:rsidR="002B768E" w:rsidRDefault="002B768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 xml:space="preserve">Figure </w:t>
      </w:r>
      <w:r>
        <w:rPr>
          <w:rFonts w:ascii="Times New Roman" w:hAnsi="Times New Roman" w:cs="Times New Roman"/>
          <w:b/>
          <w:bCs/>
          <w:sz w:val="24"/>
          <w:szCs w:val="24"/>
        </w:rPr>
        <w:t>SS</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w:t>
      </w:r>
      <w:r>
        <w:rPr>
          <w:rFonts w:ascii="Times New Roman" w:hAnsi="Times New Roman" w:cs="Times New Roman"/>
          <w:sz w:val="24"/>
          <w:szCs w:val="24"/>
        </w:rPr>
        <w:t>San Sebastian</w:t>
      </w:r>
      <w:r>
        <w:rPr>
          <w:rFonts w:ascii="Times New Roman" w:hAnsi="Times New Roman" w:cs="Times New Roman"/>
          <w:sz w:val="24"/>
          <w:szCs w:val="24"/>
        </w:rPr>
        <w:t xml:space="preserve"> in the Guana Tolomato Matanzas estuary. Blue lines are monthly chlorophyll </w:t>
      </w:r>
      <w:r>
        <w:rPr>
          <w:rFonts w:ascii="Times New Roman" w:hAnsi="Times New Roman" w:cs="Times New Roman"/>
          <w:i/>
          <w:iCs/>
          <w:sz w:val="24"/>
          <w:szCs w:val="24"/>
        </w:rPr>
        <w:t xml:space="preserve">a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 xml:space="preserve">;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719E9899" w14:textId="1E984A1B" w:rsidR="002B768E" w:rsidRDefault="002B768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 xml:space="preserve">Figure </w:t>
      </w:r>
      <w:r>
        <w:rPr>
          <w:rFonts w:ascii="Times New Roman" w:hAnsi="Times New Roman" w:cs="Times New Roman"/>
          <w:b/>
          <w:bCs/>
          <w:sz w:val="24"/>
          <w:szCs w:val="24"/>
        </w:rPr>
        <w:t>FM</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w:t>
      </w:r>
      <w:r>
        <w:rPr>
          <w:rFonts w:ascii="Times New Roman" w:hAnsi="Times New Roman" w:cs="Times New Roman"/>
          <w:sz w:val="24"/>
          <w:szCs w:val="24"/>
        </w:rPr>
        <w:t>Fort Matanzas</w:t>
      </w:r>
      <w:r>
        <w:rPr>
          <w:rFonts w:ascii="Times New Roman" w:hAnsi="Times New Roman" w:cs="Times New Roman"/>
          <w:sz w:val="24"/>
          <w:szCs w:val="24"/>
        </w:rPr>
        <w:t xml:space="preserve"> in the Guana Tolomato Matanzas estuary. Blue lines are monthly chlorophyll </w:t>
      </w:r>
      <w:r>
        <w:rPr>
          <w:rFonts w:ascii="Times New Roman" w:hAnsi="Times New Roman" w:cs="Times New Roman"/>
          <w:i/>
          <w:iCs/>
          <w:sz w:val="24"/>
          <w:szCs w:val="24"/>
        </w:rPr>
        <w:t xml:space="preserve">a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 xml:space="preserve">;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07514C9F" w14:textId="77777777" w:rsidR="00F479E5" w:rsidRDefault="002B768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Figure P</w:t>
      </w:r>
      <w:r>
        <w:rPr>
          <w:rFonts w:ascii="Times New Roman" w:hAnsi="Times New Roman" w:cs="Times New Roman"/>
          <w:b/>
          <w:bCs/>
          <w:sz w:val="24"/>
          <w:szCs w:val="24"/>
        </w:rPr>
        <w:t>C</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w:t>
      </w:r>
      <w:r>
        <w:rPr>
          <w:rFonts w:ascii="Times New Roman" w:hAnsi="Times New Roman" w:cs="Times New Roman"/>
          <w:sz w:val="24"/>
          <w:szCs w:val="24"/>
        </w:rPr>
        <w:t>Pellicer Creek</w:t>
      </w:r>
      <w:r>
        <w:rPr>
          <w:rFonts w:ascii="Times New Roman" w:hAnsi="Times New Roman" w:cs="Times New Roman"/>
          <w:sz w:val="24"/>
          <w:szCs w:val="24"/>
        </w:rPr>
        <w:t xml:space="preserve"> in the Guana Tolomato Matanzas estuary. Blue lines are monthly chlorophyll </w:t>
      </w:r>
      <w:r>
        <w:rPr>
          <w:rFonts w:ascii="Times New Roman" w:hAnsi="Times New Roman" w:cs="Times New Roman"/>
          <w:i/>
          <w:iCs/>
          <w:sz w:val="24"/>
          <w:szCs w:val="24"/>
        </w:rPr>
        <w:t xml:space="preserve">a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 xml:space="preserve">;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0998F568" w14:textId="77777777" w:rsidR="00E35A92" w:rsidRDefault="00F479E5" w:rsidP="002B768E">
      <w:pPr>
        <w:spacing w:line="480" w:lineRule="auto"/>
        <w:jc w:val="left"/>
        <w:rPr>
          <w:rFonts w:ascii="Times New Roman" w:hAnsi="Times New Roman" w:cs="Times New Roman"/>
          <w:sz w:val="24"/>
          <w:szCs w:val="24"/>
        </w:rPr>
      </w:pPr>
      <w:r w:rsidRPr="00F479E5">
        <w:rPr>
          <w:rFonts w:ascii="Times New Roman" w:hAnsi="Times New Roman" w:cs="Times New Roman"/>
          <w:b/>
          <w:bCs/>
          <w:sz w:val="24"/>
          <w:szCs w:val="24"/>
        </w:rPr>
        <w:t>Figure Fulcrums</w:t>
      </w:r>
      <w:r>
        <w:rPr>
          <w:rFonts w:ascii="Times New Roman" w:hAnsi="Times New Roman" w:cs="Times New Roman"/>
          <w:sz w:val="24"/>
          <w:szCs w:val="24"/>
        </w:rPr>
        <w:t xml:space="preserve">. Annual variability in the season pattern of chlorophyll </w:t>
      </w:r>
      <w:r>
        <w:rPr>
          <w:rFonts w:ascii="Times New Roman" w:hAnsi="Times New Roman" w:cs="Times New Roman"/>
          <w:i/>
          <w:iCs/>
          <w:sz w:val="24"/>
          <w:szCs w:val="24"/>
        </w:rPr>
        <w:t>a</w:t>
      </w:r>
      <w:r>
        <w:rPr>
          <w:rFonts w:ascii="Times New Roman" w:hAnsi="Times New Roman" w:cs="Times New Roman"/>
          <w:sz w:val="24"/>
          <w:szCs w:val="24"/>
        </w:rPr>
        <w:t xml:space="preserve"> variability measured as the fulcrum – the date in months when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reached 50% of the total annual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at (A) Pine Island (mean= 6.498), (B) San Sebastian </w:t>
      </w:r>
      <w:r>
        <w:rPr>
          <w:rFonts w:ascii="Times New Roman" w:hAnsi="Times New Roman" w:cs="Times New Roman"/>
          <w:sz w:val="24"/>
          <w:szCs w:val="24"/>
        </w:rPr>
        <w:t>(6.</w:t>
      </w:r>
      <w:r>
        <w:rPr>
          <w:rFonts w:ascii="Times New Roman" w:hAnsi="Times New Roman" w:cs="Times New Roman"/>
          <w:sz w:val="24"/>
          <w:szCs w:val="24"/>
        </w:rPr>
        <w:t>9885</w:t>
      </w:r>
      <w:r>
        <w:rPr>
          <w:rFonts w:ascii="Times New Roman" w:hAnsi="Times New Roman" w:cs="Times New Roman"/>
          <w:sz w:val="24"/>
          <w:szCs w:val="24"/>
        </w:rPr>
        <w:t xml:space="preserve">), </w:t>
      </w:r>
      <w:r>
        <w:rPr>
          <w:rFonts w:ascii="Times New Roman" w:hAnsi="Times New Roman" w:cs="Times New Roman"/>
          <w:sz w:val="24"/>
          <w:szCs w:val="24"/>
        </w:rPr>
        <w:t xml:space="preserve">(C) Fort Matanzas </w:t>
      </w:r>
      <w:r>
        <w:rPr>
          <w:rFonts w:ascii="Times New Roman" w:hAnsi="Times New Roman" w:cs="Times New Roman"/>
          <w:sz w:val="24"/>
          <w:szCs w:val="24"/>
        </w:rPr>
        <w:t>(6.</w:t>
      </w:r>
      <w:r>
        <w:rPr>
          <w:rFonts w:ascii="Times New Roman" w:hAnsi="Times New Roman" w:cs="Times New Roman"/>
          <w:sz w:val="24"/>
          <w:szCs w:val="24"/>
        </w:rPr>
        <w:t>8555</w:t>
      </w:r>
      <w:r>
        <w:rPr>
          <w:rFonts w:ascii="Times New Roman" w:hAnsi="Times New Roman" w:cs="Times New Roman"/>
          <w:sz w:val="24"/>
          <w:szCs w:val="24"/>
        </w:rPr>
        <w:t xml:space="preserve">), </w:t>
      </w:r>
      <w:r>
        <w:rPr>
          <w:rFonts w:ascii="Times New Roman" w:hAnsi="Times New Roman" w:cs="Times New Roman"/>
          <w:sz w:val="24"/>
          <w:szCs w:val="24"/>
        </w:rPr>
        <w:t xml:space="preserve">and (D) Pellicer Creek </w:t>
      </w:r>
      <w:r>
        <w:rPr>
          <w:rFonts w:ascii="Times New Roman" w:hAnsi="Times New Roman" w:cs="Times New Roman"/>
          <w:sz w:val="24"/>
          <w:szCs w:val="24"/>
        </w:rPr>
        <w:t>(6.</w:t>
      </w:r>
      <w:r>
        <w:rPr>
          <w:rFonts w:ascii="Times New Roman" w:hAnsi="Times New Roman" w:cs="Times New Roman"/>
          <w:sz w:val="24"/>
          <w:szCs w:val="24"/>
        </w:rPr>
        <w:t>6095</w:t>
      </w:r>
      <w:r>
        <w:rPr>
          <w:rFonts w:ascii="Times New Roman" w:hAnsi="Times New Roman" w:cs="Times New Roman"/>
          <w:sz w:val="24"/>
          <w:szCs w:val="24"/>
        </w:rPr>
        <w:t>)</w:t>
      </w:r>
      <w:r>
        <w:rPr>
          <w:rFonts w:ascii="Times New Roman" w:hAnsi="Times New Roman" w:cs="Times New Roman"/>
          <w:sz w:val="24"/>
          <w:szCs w:val="24"/>
        </w:rPr>
        <w:t xml:space="preserve">. Orange horizontal line represents </w:t>
      </w:r>
      <w:r>
        <w:rPr>
          <w:rFonts w:ascii="Times New Roman" w:hAnsi="Times New Roman" w:cs="Times New Roman"/>
          <w:sz w:val="24"/>
          <w:szCs w:val="24"/>
        </w:rPr>
        <w:lastRenderedPageBreak/>
        <w:t xml:space="preserve">the mean for each station and the black dashed line is a basic linear regression where no sites showed statistical significance (α = 0.05). </w:t>
      </w:r>
    </w:p>
    <w:p w14:paraId="6ADE789C" w14:textId="77777777" w:rsidR="00E35A92" w:rsidRDefault="00E35A92">
      <w:pPr>
        <w:rPr>
          <w:rFonts w:ascii="Times New Roman" w:hAnsi="Times New Roman" w:cs="Times New Roman"/>
          <w:sz w:val="24"/>
          <w:szCs w:val="24"/>
        </w:rPr>
      </w:pPr>
      <w:r>
        <w:rPr>
          <w:rFonts w:ascii="Times New Roman" w:hAnsi="Times New Roman" w:cs="Times New Roman"/>
          <w:sz w:val="24"/>
          <w:szCs w:val="24"/>
        </w:rPr>
        <w:br w:type="page"/>
      </w:r>
    </w:p>
    <w:p w14:paraId="2C9712CB" w14:textId="03E29D6E" w:rsidR="00E35A92" w:rsidRDefault="006625FF"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29DBBB" wp14:editId="20C01497">
            <wp:extent cx="6267450" cy="5876925"/>
            <wp:effectExtent l="0" t="0" r="0" b="0"/>
            <wp:docPr id="37413687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67450" cy="5876925"/>
                    </a:xfrm>
                    <a:prstGeom prst="rect">
                      <a:avLst/>
                    </a:prstGeom>
                    <a:noFill/>
                  </pic:spPr>
                </pic:pic>
              </a:graphicData>
            </a:graphic>
          </wp:inline>
        </w:drawing>
      </w:r>
    </w:p>
    <w:p w14:paraId="6EC62916" w14:textId="77777777" w:rsidR="00E35A92" w:rsidRDefault="00E35A92" w:rsidP="002B768E">
      <w:pPr>
        <w:spacing w:line="480" w:lineRule="auto"/>
        <w:jc w:val="left"/>
        <w:rPr>
          <w:rFonts w:ascii="Times New Roman" w:hAnsi="Times New Roman" w:cs="Times New Roman"/>
          <w:sz w:val="24"/>
          <w:szCs w:val="24"/>
        </w:rPr>
      </w:pPr>
      <w:r>
        <w:rPr>
          <w:rFonts w:ascii="Times New Roman" w:hAnsi="Times New Roman" w:cs="Times New Roman"/>
          <w:sz w:val="24"/>
          <w:szCs w:val="24"/>
        </w:rPr>
        <w:t>Figure PI GAM and trend</w:t>
      </w:r>
    </w:p>
    <w:p w14:paraId="352C3F0E" w14:textId="77777777" w:rsidR="00E35A92" w:rsidRDefault="00E35A92">
      <w:pPr>
        <w:rPr>
          <w:rFonts w:ascii="Times New Roman" w:hAnsi="Times New Roman" w:cs="Times New Roman"/>
          <w:sz w:val="24"/>
          <w:szCs w:val="24"/>
        </w:rPr>
      </w:pPr>
      <w:r>
        <w:rPr>
          <w:rFonts w:ascii="Times New Roman" w:hAnsi="Times New Roman" w:cs="Times New Roman"/>
          <w:sz w:val="24"/>
          <w:szCs w:val="24"/>
        </w:rPr>
        <w:br w:type="page"/>
      </w:r>
    </w:p>
    <w:p w14:paraId="0D913B00" w14:textId="77777777" w:rsidR="00E35A92" w:rsidRDefault="00E35A92"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60CD92" wp14:editId="33AF2708">
            <wp:extent cx="5943600" cy="4031615"/>
            <wp:effectExtent l="0" t="0" r="0" b="0"/>
            <wp:docPr id="1329582841"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82841" name="Picture 17" descr="Char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4031615"/>
                    </a:xfrm>
                    <a:prstGeom prst="rect">
                      <a:avLst/>
                    </a:prstGeom>
                  </pic:spPr>
                </pic:pic>
              </a:graphicData>
            </a:graphic>
          </wp:inline>
        </w:drawing>
      </w:r>
    </w:p>
    <w:p w14:paraId="2CAC5C9A" w14:textId="77777777" w:rsidR="00E35A92" w:rsidRDefault="00E35A92" w:rsidP="002B768E">
      <w:pPr>
        <w:spacing w:line="480" w:lineRule="auto"/>
        <w:jc w:val="left"/>
        <w:rPr>
          <w:rFonts w:ascii="Times New Roman" w:hAnsi="Times New Roman" w:cs="Times New Roman"/>
          <w:sz w:val="24"/>
          <w:szCs w:val="24"/>
        </w:rPr>
      </w:pPr>
      <w:r>
        <w:rPr>
          <w:rFonts w:ascii="Times New Roman" w:hAnsi="Times New Roman" w:cs="Times New Roman"/>
          <w:sz w:val="24"/>
          <w:szCs w:val="24"/>
        </w:rPr>
        <w:t>Figure SS GAM and trend</w:t>
      </w:r>
    </w:p>
    <w:p w14:paraId="433ECA59" w14:textId="77777777" w:rsidR="00E35A92" w:rsidRDefault="00E35A92">
      <w:pPr>
        <w:rPr>
          <w:rFonts w:ascii="Times New Roman" w:hAnsi="Times New Roman" w:cs="Times New Roman"/>
          <w:sz w:val="24"/>
          <w:szCs w:val="24"/>
        </w:rPr>
      </w:pPr>
      <w:r>
        <w:rPr>
          <w:rFonts w:ascii="Times New Roman" w:hAnsi="Times New Roman" w:cs="Times New Roman"/>
          <w:sz w:val="24"/>
          <w:szCs w:val="24"/>
        </w:rPr>
        <w:br w:type="page"/>
      </w:r>
    </w:p>
    <w:p w14:paraId="0ADBCF88" w14:textId="77777777" w:rsidR="00E35A92" w:rsidRDefault="00E35A92"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3BB72B" wp14:editId="2E8EB47F">
            <wp:extent cx="5943600" cy="4031615"/>
            <wp:effectExtent l="0" t="0" r="0" b="0"/>
            <wp:docPr id="1865770775"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70775" name="Picture 18" descr="Chart&#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4031615"/>
                    </a:xfrm>
                    <a:prstGeom prst="rect">
                      <a:avLst/>
                    </a:prstGeom>
                  </pic:spPr>
                </pic:pic>
              </a:graphicData>
            </a:graphic>
          </wp:inline>
        </w:drawing>
      </w:r>
    </w:p>
    <w:p w14:paraId="3D0543EC" w14:textId="77777777" w:rsidR="00E35A92" w:rsidRDefault="00E35A92" w:rsidP="002B768E">
      <w:pPr>
        <w:spacing w:line="480" w:lineRule="auto"/>
        <w:jc w:val="left"/>
        <w:rPr>
          <w:rFonts w:ascii="Times New Roman" w:hAnsi="Times New Roman" w:cs="Times New Roman"/>
          <w:sz w:val="24"/>
          <w:szCs w:val="24"/>
        </w:rPr>
      </w:pPr>
      <w:r>
        <w:rPr>
          <w:rFonts w:ascii="Times New Roman" w:hAnsi="Times New Roman" w:cs="Times New Roman"/>
          <w:sz w:val="24"/>
          <w:szCs w:val="24"/>
        </w:rPr>
        <w:t>Figure FM GAM and trend</w:t>
      </w:r>
    </w:p>
    <w:p w14:paraId="6D524499" w14:textId="77777777" w:rsidR="00E35A92" w:rsidRDefault="00E35A92">
      <w:pPr>
        <w:rPr>
          <w:rFonts w:ascii="Times New Roman" w:hAnsi="Times New Roman" w:cs="Times New Roman"/>
          <w:sz w:val="24"/>
          <w:szCs w:val="24"/>
        </w:rPr>
      </w:pPr>
      <w:r>
        <w:rPr>
          <w:rFonts w:ascii="Times New Roman" w:hAnsi="Times New Roman" w:cs="Times New Roman"/>
          <w:sz w:val="24"/>
          <w:szCs w:val="24"/>
        </w:rPr>
        <w:br w:type="page"/>
      </w:r>
    </w:p>
    <w:p w14:paraId="3E19C9F9" w14:textId="77777777" w:rsidR="00E35A92" w:rsidRDefault="00E35A92"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25CFDDF" wp14:editId="28E32EFF">
            <wp:extent cx="5943600" cy="4031615"/>
            <wp:effectExtent l="0" t="0" r="0" b="0"/>
            <wp:docPr id="1372607237" name="Picture 19"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07237" name="Picture 19" descr="Timeline&#10;&#10;Description automatically generated with low confidenc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4031615"/>
                    </a:xfrm>
                    <a:prstGeom prst="rect">
                      <a:avLst/>
                    </a:prstGeom>
                  </pic:spPr>
                </pic:pic>
              </a:graphicData>
            </a:graphic>
          </wp:inline>
        </w:drawing>
      </w:r>
    </w:p>
    <w:p w14:paraId="617F9DBA" w14:textId="0876C104" w:rsidR="009074AE" w:rsidRDefault="00E35A92" w:rsidP="002B768E">
      <w:pPr>
        <w:spacing w:line="480" w:lineRule="auto"/>
        <w:jc w:val="left"/>
        <w:rPr>
          <w:rFonts w:ascii="Times New Roman" w:hAnsi="Times New Roman" w:cs="Times New Roman"/>
          <w:sz w:val="24"/>
          <w:szCs w:val="24"/>
        </w:rPr>
      </w:pPr>
      <w:r>
        <w:rPr>
          <w:rFonts w:ascii="Times New Roman" w:hAnsi="Times New Roman" w:cs="Times New Roman"/>
          <w:sz w:val="24"/>
          <w:szCs w:val="24"/>
        </w:rPr>
        <w:t>Figure PC GAM and trend</w:t>
      </w:r>
      <w:r w:rsidR="009074AE">
        <w:rPr>
          <w:rFonts w:ascii="Times New Roman" w:hAnsi="Times New Roman" w:cs="Times New Roman"/>
          <w:sz w:val="24"/>
          <w:szCs w:val="24"/>
        </w:rPr>
        <w:br w:type="page"/>
      </w:r>
    </w:p>
    <w:p w14:paraId="0867BBE1" w14:textId="451DDC3A" w:rsidR="009074AE" w:rsidRDefault="009074AE"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34FD42" wp14:editId="47C7553D">
            <wp:extent cx="6191250" cy="6076950"/>
            <wp:effectExtent l="0" t="0" r="0" b="0"/>
            <wp:docPr id="12599484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91250" cy="6076950"/>
                    </a:xfrm>
                    <a:prstGeom prst="rect">
                      <a:avLst/>
                    </a:prstGeom>
                    <a:noFill/>
                  </pic:spPr>
                </pic:pic>
              </a:graphicData>
            </a:graphic>
          </wp:inline>
        </w:drawing>
      </w:r>
    </w:p>
    <w:p w14:paraId="5A2D32B0" w14:textId="7470D128" w:rsidR="009074AE" w:rsidRP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 xml:space="preserve">Figure PI variability </w:t>
      </w:r>
    </w:p>
    <w:p w14:paraId="723B90C4"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7FD15EF6" w14:textId="2E4AC67A" w:rsidR="009074AE" w:rsidRDefault="009074AE"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5D230C" wp14:editId="2C7AA167">
            <wp:extent cx="6191250" cy="6076950"/>
            <wp:effectExtent l="0" t="0" r="0" b="0"/>
            <wp:docPr id="20376875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1250" cy="6076950"/>
                    </a:xfrm>
                    <a:prstGeom prst="rect">
                      <a:avLst/>
                    </a:prstGeom>
                    <a:noFill/>
                  </pic:spPr>
                </pic:pic>
              </a:graphicData>
            </a:graphic>
          </wp:inline>
        </w:drawing>
      </w:r>
    </w:p>
    <w:p w14:paraId="102F2056" w14:textId="48D4BBAB" w:rsidR="009074AE" w:rsidRP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SS variability</w:t>
      </w:r>
    </w:p>
    <w:p w14:paraId="24306D9C"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12971386" w14:textId="6D90DC9F" w:rsidR="009074AE" w:rsidRDefault="009074AE"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932FB06" wp14:editId="2CAC6AFB">
            <wp:extent cx="6267450" cy="6019800"/>
            <wp:effectExtent l="0" t="0" r="0" b="0"/>
            <wp:docPr id="7935110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67450" cy="6019800"/>
                    </a:xfrm>
                    <a:prstGeom prst="rect">
                      <a:avLst/>
                    </a:prstGeom>
                    <a:noFill/>
                  </pic:spPr>
                </pic:pic>
              </a:graphicData>
            </a:graphic>
          </wp:inline>
        </w:drawing>
      </w:r>
    </w:p>
    <w:p w14:paraId="4954BB05" w14:textId="12B58C72" w:rsidR="009074AE" w:rsidRP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FM variability</w:t>
      </w:r>
    </w:p>
    <w:p w14:paraId="59D99B86"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5B5CD072" w14:textId="07A8BE50" w:rsidR="009074AE" w:rsidRDefault="009074AE"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001DE6" wp14:editId="624EE4B4">
            <wp:extent cx="6267450" cy="6019800"/>
            <wp:effectExtent l="0" t="0" r="0" b="0"/>
            <wp:docPr id="16298881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67450" cy="6019800"/>
                    </a:xfrm>
                    <a:prstGeom prst="rect">
                      <a:avLst/>
                    </a:prstGeom>
                    <a:noFill/>
                  </pic:spPr>
                </pic:pic>
              </a:graphicData>
            </a:graphic>
          </wp:inline>
        </w:drawing>
      </w:r>
    </w:p>
    <w:p w14:paraId="5F06A356" w14:textId="6E867E0F" w:rsid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PC variability</w:t>
      </w:r>
    </w:p>
    <w:p w14:paraId="389EFE62" w14:textId="77777777" w:rsidR="002B768E" w:rsidRDefault="002B768E">
      <w:pPr>
        <w:rPr>
          <w:rFonts w:ascii="Times New Roman" w:hAnsi="Times New Roman" w:cs="Times New Roman"/>
          <w:b/>
          <w:bCs/>
          <w:sz w:val="24"/>
          <w:szCs w:val="24"/>
        </w:rPr>
      </w:pPr>
      <w:r>
        <w:rPr>
          <w:rFonts w:ascii="Times New Roman" w:hAnsi="Times New Roman" w:cs="Times New Roman"/>
          <w:b/>
          <w:bCs/>
          <w:sz w:val="24"/>
          <w:szCs w:val="24"/>
        </w:rPr>
        <w:br w:type="page"/>
      </w:r>
    </w:p>
    <w:p w14:paraId="5D3FAAC0" w14:textId="2005DCE4" w:rsidR="009074AE" w:rsidRDefault="00F479E5"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4CA8C70" wp14:editId="5655435B">
            <wp:extent cx="6267450" cy="5248275"/>
            <wp:effectExtent l="0" t="0" r="0" b="0"/>
            <wp:docPr id="15151907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67450" cy="5248275"/>
                    </a:xfrm>
                    <a:prstGeom prst="rect">
                      <a:avLst/>
                    </a:prstGeom>
                    <a:noFill/>
                  </pic:spPr>
                </pic:pic>
              </a:graphicData>
            </a:graphic>
          </wp:inline>
        </w:drawing>
      </w:r>
    </w:p>
    <w:p w14:paraId="0BEA9CE4" w14:textId="169C325F" w:rsidR="00F479E5" w:rsidRPr="002B768E" w:rsidRDefault="00F479E5"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Fulcrums</w:t>
      </w:r>
    </w:p>
    <w:sectPr w:rsidR="00F479E5" w:rsidRPr="002B768E" w:rsidSect="00F04A05">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12611" w14:textId="77777777" w:rsidR="00AB57F3" w:rsidRDefault="00AB57F3">
      <w:pPr>
        <w:spacing w:after="0" w:line="240" w:lineRule="auto"/>
      </w:pPr>
      <w:r>
        <w:separator/>
      </w:r>
    </w:p>
  </w:endnote>
  <w:endnote w:type="continuationSeparator" w:id="0">
    <w:p w14:paraId="78A1E76F" w14:textId="77777777" w:rsidR="00AB57F3" w:rsidRDefault="00AB5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EE48E" w14:textId="77777777" w:rsidR="00AB57F3" w:rsidRDefault="00AB57F3">
      <w:r>
        <w:separator/>
      </w:r>
    </w:p>
  </w:footnote>
  <w:footnote w:type="continuationSeparator" w:id="0">
    <w:p w14:paraId="3B7257EB" w14:textId="77777777" w:rsidR="00AB57F3" w:rsidRDefault="00AB57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3C6A6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30FA42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60508059">
    <w:abstractNumId w:val="1"/>
  </w:num>
  <w:num w:numId="2" w16cid:durableId="826551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81769"/>
    <w:rsid w:val="000538AA"/>
    <w:rsid w:val="001472BE"/>
    <w:rsid w:val="001E5E1D"/>
    <w:rsid w:val="002B768E"/>
    <w:rsid w:val="003B101C"/>
    <w:rsid w:val="006625FF"/>
    <w:rsid w:val="00681769"/>
    <w:rsid w:val="006E1710"/>
    <w:rsid w:val="00781C4A"/>
    <w:rsid w:val="009074AE"/>
    <w:rsid w:val="00A73537"/>
    <w:rsid w:val="00AA64C8"/>
    <w:rsid w:val="00AB57F3"/>
    <w:rsid w:val="00B1705B"/>
    <w:rsid w:val="00B267BF"/>
    <w:rsid w:val="00E35A92"/>
    <w:rsid w:val="00F04A05"/>
    <w:rsid w:val="00F32A49"/>
    <w:rsid w:val="00F479E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79D8"/>
  <w15:docId w15:val="{69C6A093-EE7C-44B8-9DF0-4140AD56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1CB5"/>
  </w:style>
  <w:style w:type="paragraph" w:styleId="Heading1">
    <w:name w:val="heading 1"/>
    <w:basedOn w:val="Normal"/>
    <w:next w:val="Normal"/>
    <w:link w:val="Heading1Char"/>
    <w:uiPriority w:val="9"/>
    <w:qFormat/>
    <w:rsid w:val="00131CB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31CB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31CB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131CB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131CB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131CB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131CB5"/>
    <w:pPr>
      <w:keepNext/>
      <w:keepLines/>
      <w:spacing w:before="120" w:after="0"/>
      <w:outlineLvl w:val="6"/>
    </w:pPr>
    <w:rPr>
      <w:i/>
      <w:iCs/>
    </w:rPr>
  </w:style>
  <w:style w:type="paragraph" w:styleId="Heading8">
    <w:name w:val="heading 8"/>
    <w:basedOn w:val="Normal"/>
    <w:next w:val="Normal"/>
    <w:link w:val="Heading8Char"/>
    <w:uiPriority w:val="9"/>
    <w:unhideWhenUsed/>
    <w:qFormat/>
    <w:rsid w:val="00131CB5"/>
    <w:pPr>
      <w:keepNext/>
      <w:keepLines/>
      <w:spacing w:before="120" w:after="0"/>
      <w:outlineLvl w:val="7"/>
    </w:pPr>
    <w:rPr>
      <w:b/>
      <w:bCs/>
    </w:rPr>
  </w:style>
  <w:style w:type="paragraph" w:styleId="Heading9">
    <w:name w:val="heading 9"/>
    <w:basedOn w:val="Normal"/>
    <w:next w:val="Normal"/>
    <w:link w:val="Heading9Char"/>
    <w:uiPriority w:val="9"/>
    <w:unhideWhenUsed/>
    <w:qFormat/>
    <w:rsid w:val="00131CB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31CB5"/>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31CB5"/>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31CB5"/>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customStyle="1" w:styleId="SectionNumber">
    <w:name w:val="Section Number"/>
    <w:basedOn w:val="CaptionChar"/>
    <w:rPr>
      <w:b/>
      <w:bCs/>
      <w:sz w:val="18"/>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131CB5"/>
    <w:pPr>
      <w:outlineLvl w:val="9"/>
    </w:pPr>
  </w:style>
  <w:style w:type="character" w:customStyle="1" w:styleId="Heading1Char">
    <w:name w:val="Heading 1 Char"/>
    <w:basedOn w:val="DefaultParagraphFont"/>
    <w:link w:val="Heading1"/>
    <w:uiPriority w:val="9"/>
    <w:rsid w:val="00131CB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131CB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31CB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131CB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131CB5"/>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131CB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131CB5"/>
    <w:rPr>
      <w:i/>
      <w:iCs/>
    </w:rPr>
  </w:style>
  <w:style w:type="character" w:customStyle="1" w:styleId="Heading8Char">
    <w:name w:val="Heading 8 Char"/>
    <w:basedOn w:val="DefaultParagraphFont"/>
    <w:link w:val="Heading8"/>
    <w:uiPriority w:val="9"/>
    <w:rsid w:val="00131CB5"/>
    <w:rPr>
      <w:b/>
      <w:bCs/>
    </w:rPr>
  </w:style>
  <w:style w:type="character" w:customStyle="1" w:styleId="Heading9Char">
    <w:name w:val="Heading 9 Char"/>
    <w:basedOn w:val="DefaultParagraphFont"/>
    <w:link w:val="Heading9"/>
    <w:uiPriority w:val="9"/>
    <w:rsid w:val="00131CB5"/>
    <w:rPr>
      <w:i/>
      <w:iCs/>
    </w:rPr>
  </w:style>
  <w:style w:type="character" w:customStyle="1" w:styleId="TitleChar">
    <w:name w:val="Title Char"/>
    <w:basedOn w:val="DefaultParagraphFont"/>
    <w:link w:val="Title"/>
    <w:uiPriority w:val="10"/>
    <w:rsid w:val="00131CB5"/>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131CB5"/>
    <w:rPr>
      <w:rFonts w:asciiTheme="majorHAnsi" w:eastAsiaTheme="majorEastAsia" w:hAnsiTheme="majorHAnsi" w:cstheme="majorBidi"/>
      <w:sz w:val="24"/>
      <w:szCs w:val="24"/>
    </w:rPr>
  </w:style>
  <w:style w:type="character" w:styleId="Strong">
    <w:name w:val="Strong"/>
    <w:basedOn w:val="DefaultParagraphFont"/>
    <w:uiPriority w:val="22"/>
    <w:qFormat/>
    <w:rsid w:val="00131CB5"/>
    <w:rPr>
      <w:b/>
      <w:bCs/>
      <w:color w:val="auto"/>
    </w:rPr>
  </w:style>
  <w:style w:type="character" w:styleId="Emphasis">
    <w:name w:val="Emphasis"/>
    <w:basedOn w:val="DefaultParagraphFont"/>
    <w:uiPriority w:val="20"/>
    <w:qFormat/>
    <w:rsid w:val="00131CB5"/>
    <w:rPr>
      <w:i/>
      <w:iCs/>
      <w:color w:val="auto"/>
    </w:rPr>
  </w:style>
  <w:style w:type="paragraph" w:styleId="NoSpacing">
    <w:name w:val="No Spacing"/>
    <w:uiPriority w:val="1"/>
    <w:qFormat/>
    <w:rsid w:val="00131CB5"/>
    <w:pPr>
      <w:spacing w:after="0" w:line="240" w:lineRule="auto"/>
    </w:pPr>
  </w:style>
  <w:style w:type="paragraph" w:styleId="Quote">
    <w:name w:val="Quote"/>
    <w:basedOn w:val="Normal"/>
    <w:next w:val="Normal"/>
    <w:link w:val="QuoteChar"/>
    <w:uiPriority w:val="29"/>
    <w:qFormat/>
    <w:rsid w:val="00131CB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31CB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31CB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31CB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31CB5"/>
    <w:rPr>
      <w:i/>
      <w:iCs/>
      <w:color w:val="auto"/>
    </w:rPr>
  </w:style>
  <w:style w:type="character" w:styleId="IntenseEmphasis">
    <w:name w:val="Intense Emphasis"/>
    <w:basedOn w:val="DefaultParagraphFont"/>
    <w:uiPriority w:val="21"/>
    <w:qFormat/>
    <w:rsid w:val="00131CB5"/>
    <w:rPr>
      <w:b/>
      <w:bCs/>
      <w:i/>
      <w:iCs/>
      <w:color w:val="auto"/>
    </w:rPr>
  </w:style>
  <w:style w:type="character" w:styleId="SubtleReference">
    <w:name w:val="Subtle Reference"/>
    <w:basedOn w:val="DefaultParagraphFont"/>
    <w:uiPriority w:val="31"/>
    <w:qFormat/>
    <w:rsid w:val="00131CB5"/>
    <w:rPr>
      <w:smallCaps/>
      <w:color w:val="auto"/>
      <w:u w:val="single" w:color="7F7F7F" w:themeColor="text1" w:themeTint="80"/>
    </w:rPr>
  </w:style>
  <w:style w:type="character" w:styleId="IntenseReference">
    <w:name w:val="Intense Reference"/>
    <w:basedOn w:val="DefaultParagraphFont"/>
    <w:uiPriority w:val="32"/>
    <w:qFormat/>
    <w:rsid w:val="00131CB5"/>
    <w:rPr>
      <w:b/>
      <w:bCs/>
      <w:smallCaps/>
      <w:color w:val="auto"/>
      <w:u w:val="single"/>
    </w:rPr>
  </w:style>
  <w:style w:type="character" w:styleId="BookTitle">
    <w:name w:val="Book Title"/>
    <w:basedOn w:val="DefaultParagraphFont"/>
    <w:uiPriority w:val="33"/>
    <w:qFormat/>
    <w:rsid w:val="00131CB5"/>
    <w:rPr>
      <w:b/>
      <w:bCs/>
      <w:smallCaps/>
      <w:color w:val="auto"/>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character" w:styleId="LineNumber">
    <w:name w:val="line number"/>
    <w:basedOn w:val="DefaultParagraphFont"/>
    <w:rsid w:val="00F04A05"/>
  </w:style>
  <w:style w:type="character" w:styleId="UnresolvedMention">
    <w:name w:val="Unresolved Mention"/>
    <w:basedOn w:val="DefaultParagraphFont"/>
    <w:uiPriority w:val="99"/>
    <w:semiHidden/>
    <w:unhideWhenUsed/>
    <w:rsid w:val="00F04A05"/>
    <w:rPr>
      <w:color w:val="605E5C"/>
      <w:shd w:val="clear" w:color="auto" w:fill="E1DFDD"/>
    </w:rPr>
  </w:style>
  <w:style w:type="character" w:styleId="PlaceholderText">
    <w:name w:val="Placeholder Text"/>
    <w:basedOn w:val="DefaultParagraphFont"/>
    <w:rsid w:val="003B101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04752">
      <w:bodyDiv w:val="1"/>
      <w:marLeft w:val="0"/>
      <w:marRight w:val="0"/>
      <w:marTop w:val="0"/>
      <w:marBottom w:val="0"/>
      <w:divBdr>
        <w:top w:val="none" w:sz="0" w:space="0" w:color="auto"/>
        <w:left w:val="none" w:sz="0" w:space="0" w:color="auto"/>
        <w:bottom w:val="none" w:sz="0" w:space="0" w:color="auto"/>
        <w:right w:val="none" w:sz="0" w:space="0" w:color="auto"/>
      </w:divBdr>
    </w:div>
    <w:div w:id="18670564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12/SI55-005.1" TargetMode="External"/><Relationship Id="rId13" Type="http://schemas.openxmlformats.org/officeDocument/2006/relationships/hyperlink" Target="https://doi.org/10.1002/lol2.10354" TargetMode="External"/><Relationship Id="rId18" Type="http://schemas.openxmlformats.org/officeDocument/2006/relationships/hyperlink" Target="https://doi.org/10.1016/j.icesjms.2005.03.011" TargetMode="External"/><Relationship Id="rId26" Type="http://schemas.openxmlformats.org/officeDocument/2006/relationships/hyperlink" Target="https://www.frontiersin.org/articles/10.3389/fmars.2021.730934" TargetMode="External"/><Relationship Id="rId39"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doi.org/10.15447/sfews.2008v6iss1art2" TargetMode="External"/><Relationship Id="rId34" Type="http://schemas.openxmlformats.org/officeDocument/2006/relationships/image" Target="media/image3.png"/><Relationship Id="rId42" Type="http://schemas.openxmlformats.org/officeDocument/2006/relationships/theme" Target="theme/theme1.xml"/><Relationship Id="rId7" Type="http://schemas.openxmlformats.org/officeDocument/2006/relationships/hyperlink" Target="mailto:Shannon.Dunnigan@dep.state.fl.us" TargetMode="External"/><Relationship Id="rId12" Type="http://schemas.openxmlformats.org/officeDocument/2006/relationships/hyperlink" Target="https://doi.org/10.1007/s12237-009-9195-3" TargetMode="External"/><Relationship Id="rId17" Type="http://schemas.openxmlformats.org/officeDocument/2006/relationships/hyperlink" Target="https://doi.org/10.1007/s12237-021-01017-x" TargetMode="External"/><Relationship Id="rId25" Type="http://schemas.openxmlformats.org/officeDocument/2006/relationships/hyperlink" Target="https://doi.org/10.1016/j.jenvman.2021.113178" TargetMode="External"/><Relationship Id="rId33" Type="http://schemas.openxmlformats.org/officeDocument/2006/relationships/image" Target="media/image2.png"/><Relationship Id="rId38"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oi.org/10.1007/s12237-019-00597-z" TargetMode="External"/><Relationship Id="rId20" Type="http://schemas.openxmlformats.org/officeDocument/2006/relationships/hyperlink" Target="https://doi.org/10.1016/j.marenvres.2015.08.010" TargetMode="External"/><Relationship Id="rId29" Type="http://schemas.openxmlformats.org/officeDocument/2006/relationships/hyperlink" Target="https://www.R-project.or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lno.10958" TargetMode="External"/><Relationship Id="rId24" Type="http://schemas.openxmlformats.org/officeDocument/2006/relationships/hyperlink" Target="https://doi.org/10.1007/s10750-017-3131-5"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doi.org/10.1007/s12237-013-9613-4" TargetMode="External"/><Relationship Id="rId23" Type="http://schemas.openxmlformats.org/officeDocument/2006/relationships/hyperlink" Target="https://doi.org/10.1016/j.marpolbul.2015.07.035" TargetMode="External"/><Relationship Id="rId28" Type="http://schemas.openxmlformats.org/officeDocument/2006/relationships/hyperlink" Target="https://doi.org/10.2112/SI45-093.1" TargetMode="External"/><Relationship Id="rId36" Type="http://schemas.openxmlformats.org/officeDocument/2006/relationships/image" Target="media/image5.png"/><Relationship Id="rId10" Type="http://schemas.openxmlformats.org/officeDocument/2006/relationships/hyperlink" Target="https://doi.org/10.1016/j.scitotenv.2021.149927" TargetMode="External"/><Relationship Id="rId19" Type="http://schemas.openxmlformats.org/officeDocument/2006/relationships/hyperlink" Target="https://doi.org/10.1007/s12237-015-0023-7" TargetMode="External"/><Relationship Id="rId31" Type="http://schemas.openxmlformats.org/officeDocument/2006/relationships/hyperlink" Target="https://doi.org/10.1656/058.013.0104" TargetMode="External"/><Relationship Id="rId4" Type="http://schemas.openxmlformats.org/officeDocument/2006/relationships/webSettings" Target="webSettings.xml"/><Relationship Id="rId9" Type="http://schemas.openxmlformats.org/officeDocument/2006/relationships/hyperlink" Target="https://doi.org/10.1007/s10666-018-9622-6" TargetMode="External"/><Relationship Id="rId14" Type="http://schemas.openxmlformats.org/officeDocument/2006/relationships/hyperlink" Target="http://hdl.handle.net/1834/18098" TargetMode="External"/><Relationship Id="rId22" Type="http://schemas.openxmlformats.org/officeDocument/2006/relationships/hyperlink" Target="https://CRAN.R-project.org/package=wq" TargetMode="External"/><Relationship Id="rId27" Type="http://schemas.openxmlformats.org/officeDocument/2006/relationships/hyperlink" Target="https://doi.org/10.1038/s41598-020-58771-4" TargetMode="External"/><Relationship Id="rId30" Type="http://schemas.openxmlformats.org/officeDocument/2006/relationships/hyperlink" Target="https://doi.org/10.2112/SI55-002.1" TargetMode="External"/><Relationship Id="rId3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29</Pages>
  <Words>4362</Words>
  <Characters>24865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Working Title: Trends and variability in chlorophyll a in a back-barrier lagoonal estuary in the southeastern United States</vt:lpstr>
    </vt:vector>
  </TitlesOfParts>
  <Company/>
  <LinksUpToDate>false</LinksUpToDate>
  <CharactersWithSpaces>29169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Trends and variability in chlorophyll a in a back-barrier lagoonal estuary in the southeastern United States</dc:title>
  <dc:creator/>
  <cp:keywords/>
  <cp:lastModifiedBy>Dunnigan, Shannon</cp:lastModifiedBy>
  <cp:revision>5</cp:revision>
  <dcterms:created xsi:type="dcterms:W3CDTF">2023-12-08T19:00:00Z</dcterms:created>
  <dcterms:modified xsi:type="dcterms:W3CDTF">2023-12-08T21:39:00Z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estuaries-and-coasts.csl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