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CC0088"/>
          <w:sz w:val="80"/>
          <w:szCs w:val="80"/>
        </w:rPr>
        <w:t xml:space="preserve">CYBERMINES</w:t>
      </w:r>
    </w:p>
    <w:p>
      <w:pPr>
        <w:spacing w:after="40"/>
      </w:pPr>
      <w:r>
        <w:rPr>
          <w:rFonts w:ascii="Arial" w:cs="Arial" w:eastAsia="Arial" w:hAnsi="Arial"/>
          <w:b/>
          <w:bCs/>
          <w:color w:val="003366"/>
          <w:sz w:val="44"/>
          <w:szCs w:val="44"/>
        </w:rPr>
        <w:t xml:space="preserve">v0.1</w:t>
      </w:r>
    </w:p>
    <w:p>
      <w:pPr>
        <w:spacing w:after="180"/>
      </w:pPr>
      <w:r>
        <w:rPr>
          <w:rFonts w:ascii="Arial" w:cs="Arial" w:eastAsia="Arial" w:hAnsi="Arial"/>
          <w:color w:val="444444"/>
          <w:sz w:val="30"/>
          <w:szCs w:val="30"/>
        </w:rPr>
        <w:t xml:space="preserve">Product &amp; Investment Whitepaper</w:t>
      </w:r>
    </w:p>
    <w:p>
      <w:pPr>
        <w:pBdr>
          <w:bottom w:val="single" w:color="CC0088" w:sz="16"/>
        </w:pBdr>
        <w:spacing w:after="220"/>
      </w:pPr>
    </w:p>
    <w:p>
      <w:pPr>
        <w:spacing w:after="80"/>
      </w:pPr>
      <w:r>
        <w:rPr>
          <w:rFonts w:ascii="Arial" w:cs="Arial" w:eastAsia="Arial" w:hAnsi="Arial"/>
          <w:color w:val="444444"/>
          <w:sz w:val="22"/>
          <w:szCs w:val="22"/>
        </w:rPr>
        <w:t xml:space="preserve">Edition: </w:t>
      </w:r>
      <w:r>
        <w:rPr>
          <w:rFonts w:ascii="Arial" w:cs="Arial" w:eastAsia="Arial" w:hAnsi="Arial"/>
          <w:b/>
          <w:bCs/>
          <w:color w:val="111111"/>
          <w:sz w:val="22"/>
          <w:szCs w:val="22"/>
        </w:rPr>
        <w:t xml:space="preserve">v0.5 — Full Psychology &amp; Commercial Edition</w:t>
      </w:r>
    </w:p>
    <w:p>
      <w:pPr>
        <w:spacing w:after="80"/>
      </w:pPr>
      <w:r>
        <w:rPr>
          <w:rFonts w:ascii="Arial" w:cs="Arial" w:eastAsia="Arial" w:hAnsi="Arial"/>
          <w:color w:val="444444"/>
          <w:sz w:val="22"/>
          <w:szCs w:val="22"/>
        </w:rPr>
        <w:t xml:space="preserve">Author: </w:t>
      </w:r>
      <w:r>
        <w:rPr>
          <w:rFonts w:ascii="Arial" w:cs="Arial" w:eastAsia="Arial" w:hAnsi="Arial"/>
          <w:color w:val="111111"/>
          <w:sz w:val="22"/>
          <w:szCs w:val="22"/>
        </w:rPr>
        <w:t xml:space="preserve">James Deeks, Brighton, United Kingdom</w:t>
      </w:r>
    </w:p>
    <w:p>
      <w:pPr>
        <w:spacing w:after="80"/>
      </w:pPr>
      <w:r>
        <w:rPr>
          <w:rFonts w:ascii="Arial" w:cs="Arial" w:eastAsia="Arial" w:hAnsi="Arial"/>
          <w:color w:val="444444"/>
          <w:sz w:val="22"/>
          <w:szCs w:val="22"/>
        </w:rPr>
        <w:t xml:space="preserve">Contact: </w:t>
      </w:r>
      <w:r>
        <w:rPr>
          <w:rFonts w:ascii="Arial" w:cs="Arial" w:eastAsia="Arial" w:hAnsi="Arial"/>
          <w:color w:val="003366"/>
          <w:sz w:val="22"/>
          <w:szCs w:val="22"/>
        </w:rPr>
        <w:t xml:space="preserve">jddeeks@gmail.com  ·  github.com/skeed808</w:t>
      </w:r>
    </w:p>
    <w:p>
      <w:pPr>
        <w:spacing w:after="80"/>
      </w:pPr>
      <w:r>
        <w:rPr>
          <w:rFonts w:ascii="Arial" w:cs="Arial" w:eastAsia="Arial" w:hAnsi="Arial"/>
          <w:color w:val="444444"/>
          <w:sz w:val="22"/>
          <w:szCs w:val="22"/>
        </w:rPr>
        <w:t xml:space="preserve">Date: </w:t>
      </w:r>
      <w:r>
        <w:rPr>
          <w:rFonts w:ascii="Arial" w:cs="Arial" w:eastAsia="Arial" w:hAnsi="Arial"/>
          <w:color w:val="111111"/>
          <w:sz w:val="22"/>
          <w:szCs w:val="22"/>
        </w:rPr>
        <w:t xml:space="preserve">May 2026</w:t>
      </w:r>
    </w:p>
    <w:p>
      <w:pPr>
        <w:spacing w:after="400"/>
      </w:pPr>
      <w:r>
        <w:rPr>
          <w:rFonts w:ascii="Arial" w:cs="Arial" w:eastAsia="Arial" w:hAnsi="Arial"/>
          <w:color w:val="444444"/>
          <w:sz w:val="22"/>
          <w:szCs w:val="22"/>
        </w:rPr>
        <w:t xml:space="preserve">Audience: </w:t>
      </w:r>
      <w:r>
        <w:rPr>
          <w:rFonts w:ascii="Arial" w:cs="Arial" w:eastAsia="Arial" w:hAnsi="Arial"/>
          <w:color w:val="111111"/>
          <w:sz w:val="22"/>
          <w:szCs w:val="22"/>
        </w:rPr>
        <w:t xml:space="preserve">Casino operators · Game aggregators · Product &amp; compliance teams · Investment due diligence</w:t>
      </w:r>
    </w:p>
    <w:p>
      <w:pPr>
        <w:pBdr>
          <w:left w:val="single" w:color="CC0088" w:sz="14"/>
        </w:pBdr>
        <w:spacing w:after="220"/>
        <w:ind w:left="320"/>
      </w:pPr>
      <w:r>
        <w:rPr>
          <w:rFonts w:ascii="Arial" w:cs="Arial" w:eastAsia="Arial" w:hAnsi="Arial"/>
          <w:color w:val="444444"/>
          <w:sz w:val="22"/>
          <w:szCs w:val="22"/>
        </w:rPr>
        <w:t xml:space="preserve">STRICTLY CONFIDENTIAL — This document is prepared for evaluated counterparties under mutual non-disclosure. Reproduction, excerpting, or onward distribution without prior written consent of the originator is prohibited.</w:t>
      </w:r>
    </w:p>
    <w:p>
      <w:pPr>
        <w:spacing w:after="60"/>
      </w:pPr>
      <w:r>
        <w:rPr>
          <w:rFonts w:ascii="Arial" w:cs="Arial" w:eastAsia="Arial" w:hAnsi="Arial"/>
          <w:sz w:val="10"/>
          <w:szCs w:val="10"/>
        </w:rPr>
        <w:t xml:space="preserve"/>
      </w:r>
    </w:p>
    <w:p>
      <w:pPr>
        <w:pStyle w:val="Heading1"/>
        <w:spacing w:after="160" w:before="480"/>
      </w:pPr>
      <w:r>
        <w:rPr>
          <w:rFonts w:ascii="Arial" w:cs="Arial" w:eastAsia="Arial" w:hAnsi="Arial"/>
          <w:b/>
          <w:bCs/>
          <w:color w:val="CC0088"/>
          <w:sz w:val="32"/>
          <w:szCs w:val="32"/>
        </w:rPr>
        <w:t xml:space="preserve">1. Executive Summary</w:t>
      </w:r>
    </w:p>
    <w:p>
      <w:pPr>
        <w:spacing w:after="180"/>
      </w:pPr>
      <w:r>
        <w:rPr>
          <w:rFonts w:ascii="Arial" w:cs="Arial" w:eastAsia="Arial" w:hAnsi="Arial"/>
          <w:color w:val="111111"/>
          <w:sz w:val="22"/>
          <w:szCs w:val="22"/>
        </w:rPr>
        <w:t xml:space="preserve">CyberMines v0.1 is a high-volatility, provably fair crypto casino Mines game engineered from the ground up to solve the single biggest structural problem with the dominant Mines implementations on market: they run out of game. The conventional Mines loop — reveal tiles, dodge mines, cash out — collapses into a predictable risk-tolerance decision within a player's first few sessions. Multipliers are smooth and continuous, the optimal strategy is trivially computable, and the game has no mechanism to generate outsized outcomes, viral moments, or genuine surprise. The player has learned the game. Engagement degrades.</w:t>
      </w:r>
    </w:p>
    <w:p>
      <w:pPr>
        <w:spacing w:after="180"/>
      </w:pPr>
      <w:r>
        <w:rPr>
          <w:rFonts w:ascii="Arial" w:cs="Arial" w:eastAsia="Arial" w:hAnsi="Arial"/>
          <w:color w:val="111111"/>
          <w:sz w:val="22"/>
          <w:szCs w:val="22"/>
        </w:rPr>
        <w:t xml:space="preserve">CyberMines addresses this through two proprietary structural innovations and one technical differentiator:</w:t>
      </w:r>
    </w:p>
    <w:p>
      <w:pPr>
        <w:spacing w:after="100"/>
        <w:ind w:left="440" w:hanging="220"/>
      </w:pPr>
      <w:r>
        <w:rPr>
          <w:rFonts w:ascii="Arial" w:cs="Arial" w:eastAsia="Arial" w:hAnsi="Arial"/>
          <w:color w:val="111111"/>
          <w:sz w:val="22"/>
          <w:szCs w:val="22"/>
        </w:rPr>
        <w:t xml:space="preserve">•  Tenth Click Fate System — a stochastic multiplier gate firing at every tenth safe reveal, awarding one of four outcomes (PASS / BOOST 1.5× / SPARK 3× / INFERNO 5×). The gate is always positive: worst case the multiplier is unchanged. The gate can fire multiple times per round on larger grids, creating compounding multiplier events unreachable in any other Mines implementation.</w:t>
      </w:r>
    </w:p>
    <w:p>
      <w:pPr>
        <w:spacing w:after="100"/>
        <w:ind w:left="440" w:hanging="220"/>
      </w:pPr>
      <w:r>
        <w:rPr>
          <w:rFonts w:ascii="Arial" w:cs="Arial" w:eastAsia="Arial" w:hAnsi="Arial"/>
          <w:color w:val="111111"/>
          <w:sz w:val="22"/>
          <w:szCs w:val="22"/>
        </w:rPr>
        <w:t xml:space="preserve">•  Four-Size Grid Selection — 3×3 (9 tiles), 5×5 (25 tiles), 6×6 (36 tiles), 7×7 (49 tiles). Grid choice is a structural volatility selection that transforms the risk surface, session depth, and multiplier ceiling of every round. CyberMines is the only Mines game offering 3×3 grids (shared only with Hacksaw Gaming) and 7×7 grids (shared only with Rollbit), simultaneously — in a single product.</w:t>
      </w:r>
    </w:p>
    <w:p>
      <w:pPr>
        <w:spacing w:after="100"/>
        <w:ind w:left="440" w:hanging="220"/>
      </w:pPr>
      <w:r>
        <w:rPr>
          <w:rFonts w:ascii="Arial" w:cs="Arial" w:eastAsia="Arial" w:hAnsi="Arial"/>
          <w:color w:val="111111"/>
          <w:sz w:val="22"/>
          <w:szCs w:val="22"/>
        </w:rPr>
        <w:t xml:space="preserve">•  Full Provably Fair System — player-customisable client seed, SHA-256 server commitment shown before every round, post-round server seed reveal, and an in-product round verifier that reconstructs the exact mine layout from the seed triplet. The most complete provably fair implementation observed across any competing Mines product at time of writing.</w:t>
      </w:r>
    </w:p>
    <w:p>
      <w:pPr>
        <w:spacing w:after="60"/>
      </w:pPr>
      <w:r>
        <w:rPr>
          <w:rFonts w:ascii="Arial" w:cs="Arial" w:eastAsia="Arial" w:hAnsi="Arial"/>
          <w:sz w:val="10"/>
          <w:szCs w:val="10"/>
        </w:rPr>
        <w:t xml:space="preserve"/>
      </w:r>
    </w:p>
    <w:p>
      <w:pPr>
        <w:pBdr>
          <w:left w:val="single" w:color="003366" w:sz="14"/>
        </w:pBdr>
        <w:spacing w:after="200"/>
        <w:ind w:left="320"/>
      </w:pPr>
      <w:r>
        <w:rPr>
          <w:rFonts w:ascii="Arial" w:cs="Arial" w:eastAsia="Arial" w:hAnsi="Arial"/>
          <w:b/>
          <w:bCs/>
          <w:color w:val="003366"/>
          <w:sz w:val="22"/>
          <w:szCs w:val="22"/>
        </w:rPr>
        <w:t xml:space="preserve">Base RTP: 97% (configurable 95–99%). Gate EV: E[G] = 1.525 (positive — rewards survival). Grid sizes: 9 / 25 / 36 / 49 tiles. Mine cap: min(N−1, 25). Architecture: single HTML file, zero dependencies, sub-day operator integration.</w:t>
      </w:r>
    </w:p>
    <w:p>
      <w:pPr>
        <w:pStyle w:val="Heading1"/>
        <w:spacing w:after="160" w:before="480"/>
      </w:pPr>
      <w:r>
        <w:rPr>
          <w:rFonts w:ascii="Arial" w:cs="Arial" w:eastAsia="Arial" w:hAnsi="Arial"/>
          <w:b/>
          <w:bCs/>
          <w:color w:val="CC0088"/>
          <w:sz w:val="32"/>
          <w:szCs w:val="32"/>
        </w:rPr>
        <w:t xml:space="preserve">2. Market Context &amp; Competitive Positioning</w:t>
      </w:r>
    </w:p>
    <w:p>
      <w:pPr>
        <w:pStyle w:val="Heading2"/>
        <w:spacing w:after="120" w:before="300"/>
      </w:pPr>
      <w:r>
        <w:rPr>
          <w:rFonts w:ascii="Arial" w:cs="Arial" w:eastAsia="Arial" w:hAnsi="Arial"/>
          <w:b/>
          <w:bCs/>
          <w:color w:val="003366"/>
          <w:sz w:val="26"/>
          <w:szCs w:val="26"/>
        </w:rPr>
        <w:t xml:space="preserve">2.1 The Mines Category</w:t>
      </w:r>
    </w:p>
    <w:p>
      <w:pPr>
        <w:spacing w:after="180"/>
      </w:pPr>
      <w:r>
        <w:rPr>
          <w:rFonts w:ascii="Arial" w:cs="Arial" w:eastAsia="Arial" w:hAnsi="Arial"/>
          <w:color w:val="111111"/>
          <w:sz w:val="22"/>
          <w:szCs w:val="22"/>
        </w:rPr>
        <w:t xml:space="preserve">Mines is the highest-performing non-slot product category in the crypto casino vertical. On Stake.com — the largest crypto casino by volume — Mines consistently ranks in the top five games by gross gaming revenue. On Rollbit, BC.game, and Roobet it performs similarly. The category has grown from a novelty to a core vertical driver in under four years, fuelled by its combination of immediate legibility (a player understands the game within one round), high interactivity (no passive watching — every click is a decision), and streaming-native visual clarity.</w:t>
      </w:r>
    </w:p>
    <w:p>
      <w:pPr>
        <w:pStyle w:val="Heading2"/>
        <w:spacing w:after="120" w:before="300"/>
      </w:pPr>
      <w:r>
        <w:rPr>
          <w:rFonts w:ascii="Arial" w:cs="Arial" w:eastAsia="Arial" w:hAnsi="Arial"/>
          <w:b/>
          <w:bCs/>
          <w:color w:val="003366"/>
          <w:sz w:val="26"/>
          <w:szCs w:val="26"/>
        </w:rPr>
        <w:t xml:space="preserve">2.2 Structural Weakness of Incumbent Products</w:t>
      </w:r>
    </w:p>
    <w:p>
      <w:pPr>
        <w:spacing w:after="180"/>
      </w:pPr>
      <w:r>
        <w:rPr>
          <w:rFonts w:ascii="Arial" w:cs="Arial" w:eastAsia="Arial" w:hAnsi="Arial"/>
          <w:color w:val="111111"/>
          <w:sz w:val="22"/>
          <w:szCs w:val="22"/>
        </w:rPr>
        <w:t xml:space="preserve">All major Mines implementations share the same mechanical blueprint: fixed 5×5 grid, smooth hypergeometric multiplier curve, single mine count per round, no structured variance events. The consequence is a game with a very short skill ceiling. By session three, experienced players have found their comfortable risk tolerance — typically 3–7 mines, cash out between clicks 3 and 7 — and play becomes rote. Engagement metrics show predictable decay curves beginning around day 14 of first play.</w:t>
      </w:r>
    </w:p>
    <w:p>
      <w:pPr>
        <w:spacing w:after="180"/>
      </w:pPr>
      <w:r>
        <w:rPr>
          <w:rFonts w:ascii="Arial" w:cs="Arial" w:eastAsia="Arial" w:hAnsi="Arial"/>
          <w:color w:val="111111"/>
          <w:sz w:val="22"/>
          <w:szCs w:val="22"/>
        </w:rPr>
        <w:t xml:space="preserve">The category leaders have attempted to address this through cosmetic variation (themes, animations, jackpot overlays) rather than mechanical innovation. CyberMines is the only product to address the structural problem directly.</w:t>
      </w:r>
    </w:p>
    <w:p>
      <w:pPr>
        <w:pStyle w:val="Heading2"/>
        <w:spacing w:after="120" w:before="300"/>
      </w:pPr>
      <w:r>
        <w:rPr>
          <w:rFonts w:ascii="Arial" w:cs="Arial" w:eastAsia="Arial" w:hAnsi="Arial"/>
          <w:b/>
          <w:bCs/>
          <w:color w:val="003366"/>
          <w:sz w:val="26"/>
          <w:szCs w:val="26"/>
        </w:rPr>
        <w:t xml:space="preserve">2.3 Competitive Differentiation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626"/>
      </w:tblGrid>
      <w:tr>
        <w:trPr>
          <w:tblHeader/>
        </w:trPr>
        <w:tc>
          <w:tcPr>
            <w:tcW w:type="dxa" w:w="22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Feature</w:t>
            </w:r>
          </w:p>
        </w:tc>
        <w:tc>
          <w:tcPr>
            <w:tcW w:type="dxa" w:w="13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CyberMines</w:t>
            </w:r>
          </w:p>
        </w:tc>
        <w:tc>
          <w:tcPr>
            <w:tcW w:type="dxa" w:w="13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Stake</w:t>
            </w:r>
          </w:p>
        </w:tc>
        <w:tc>
          <w:tcPr>
            <w:tcW w:type="dxa" w:w="13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Rollbit</w:t>
            </w:r>
          </w:p>
        </w:tc>
        <w:tc>
          <w:tcPr>
            <w:tcW w:type="dxa" w:w="13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Hacksaw</w:t>
            </w:r>
          </w:p>
        </w:tc>
        <w:tc>
          <w:tcPr>
            <w:tcW w:type="dxa" w:w="1626"/>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BC.game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3×3 grid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7×7 grid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4 grid sizes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Structured gate mechanic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Multi-gate per round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Player custom client seed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In-product round verifier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Progressive audio tension arc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Single-file deployment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t>
            </w:r>
          </w:p>
        </w:tc>
      </w:tr>
    </w:tbl>
    <w:p>
      <w:pPr>
        <w:spacing w:after="60"/>
      </w:pPr>
      <w:r>
        <w:rPr>
          <w:rFonts w:ascii="Arial" w:cs="Arial" w:eastAsia="Arial" w:hAnsi="Arial"/>
          <w:sz w:val="10"/>
          <w:szCs w:val="10"/>
        </w:rPr>
        <w:t xml:space="preserve"/>
      </w:r>
    </w:p>
    <w:p>
      <w:pPr>
        <w:pStyle w:val="Heading1"/>
        <w:spacing w:after="160" w:before="480"/>
      </w:pPr>
      <w:r>
        <w:rPr>
          <w:rFonts w:ascii="Arial" w:cs="Arial" w:eastAsia="Arial" w:hAnsi="Arial"/>
          <w:b/>
          <w:bCs/>
          <w:color w:val="CC0088"/>
          <w:sz w:val="32"/>
          <w:szCs w:val="32"/>
        </w:rPr>
        <w:t xml:space="preserve">3. Product Mechanics</w:t>
      </w:r>
    </w:p>
    <w:p>
      <w:pPr>
        <w:pStyle w:val="Heading2"/>
        <w:spacing w:after="120" w:before="300"/>
      </w:pPr>
      <w:r>
        <w:rPr>
          <w:rFonts w:ascii="Arial" w:cs="Arial" w:eastAsia="Arial" w:hAnsi="Arial"/>
          <w:b/>
          <w:bCs/>
          <w:color w:val="003366"/>
          <w:sz w:val="26"/>
          <w:szCs w:val="26"/>
        </w:rPr>
        <w:t xml:space="preserve">3.1 Grid System</w:t>
      </w:r>
    </w:p>
    <w:p>
      <w:pPr>
        <w:spacing w:after="180"/>
      </w:pPr>
      <w:r>
        <w:rPr>
          <w:rFonts w:ascii="Arial" w:cs="Arial" w:eastAsia="Arial" w:hAnsi="Arial"/>
          <w:color w:val="111111"/>
          <w:sz w:val="22"/>
          <w:szCs w:val="22"/>
        </w:rPr>
        <w:t xml:space="preserve">Four grid sizes, selectable between rounds via persistent buttons. Tiles scale to fill a fixed screen footprint across all sizes — the visual grid area is identical regardless of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100"/>
        <w:gridCol w:w="1200"/>
        <w:gridCol w:w="1200"/>
        <w:gridCol w:w="3826"/>
      </w:tblGrid>
      <w:tr>
        <w:trPr>
          <w:tblHeader/>
        </w:trPr>
        <w:tc>
          <w:tcPr>
            <w:tcW w:type="dxa" w:w="9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Grid</w:t>
            </w:r>
          </w:p>
        </w:tc>
        <w:tc>
          <w:tcPr>
            <w:tcW w:type="dxa" w:w="8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N</w:t>
            </w:r>
          </w:p>
        </w:tc>
        <w:tc>
          <w:tcPr>
            <w:tcW w:type="dxa" w:w="11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Mine cap</w:t>
            </w:r>
          </w:p>
        </w:tc>
        <w:tc>
          <w:tcPr>
            <w:tcW w:type="dxa" w:w="12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Min density</w:t>
            </w:r>
          </w:p>
        </w:tc>
        <w:tc>
          <w:tcPr>
            <w:tcW w:type="dxa" w:w="12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Max density</w:t>
            </w:r>
          </w:p>
        </w:tc>
        <w:tc>
          <w:tcPr>
            <w:tcW w:type="dxa" w:w="3826"/>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Strategic character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11.1%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88.9%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Extreme burst. Brutal per-click multipliers. Gate unreachable at M≥3. Pure high-stakes sprint.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5×5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96.0%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Canonical. Full multiplier curve. Gate reachable at standard mine counts. Category baseline.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6×6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36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69.4%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Depth play. Lower density rewards patience. Gate farming viable at M=1–3.</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7×7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49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51.0%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Endurance. Multiple gate cycles possible. Compounding INFERNO potential. Unique to CyberMines.</w:t>
            </w:r>
          </w:p>
        </w:tc>
      </w:tr>
    </w:tbl>
    <w:p>
      <w:pPr>
        <w:spacing w:after="60"/>
      </w:pPr>
      <w:r>
        <w:rPr>
          <w:rFonts w:ascii="Arial" w:cs="Arial" w:eastAsia="Arial" w:hAnsi="Arial"/>
          <w:sz w:val="10"/>
          <w:szCs w:val="10"/>
        </w:rPr>
        <w:t xml:space="preserve"/>
      </w:r>
    </w:p>
    <w:p>
      <w:pPr>
        <w:pStyle w:val="Heading2"/>
        <w:spacing w:after="120" w:before="300"/>
      </w:pPr>
      <w:r>
        <w:rPr>
          <w:rFonts w:ascii="Arial" w:cs="Arial" w:eastAsia="Arial" w:hAnsi="Arial"/>
          <w:b/>
          <w:bCs/>
          <w:color w:val="003366"/>
          <w:sz w:val="26"/>
          <w:szCs w:val="26"/>
        </w:rPr>
        <w:t xml:space="preserve">3.2 Multiplier Mathematics</w:t>
      </w:r>
    </w:p>
    <w:p>
      <w:pPr>
        <w:spacing w:after="180"/>
      </w:pPr>
      <w:r>
        <w:rPr>
          <w:rFonts w:ascii="Arial" w:cs="Arial" w:eastAsia="Arial" w:hAnsi="Arial"/>
          <w:color w:val="111111"/>
          <w:sz w:val="22"/>
          <w:szCs w:val="22"/>
        </w:rPr>
        <w:t xml:space="preserve">The multiplier follows a hypergeometric base curve — the mathematically correct reciprocal of survival probability — with a 3% house edge applied multiplicatively:</w:t>
      </w:r>
    </w:p>
    <w:p>
      <w:pPr>
        <w:spacing w:after="120"/>
        <w:ind w:left="500"/>
      </w:pPr>
      <w:r>
        <w:rPr>
          <w:rFonts w:ascii="Courier New" w:cs="Courier New" w:eastAsia="Courier New" w:hAnsi="Courier New"/>
          <w:b/>
          <w:bCs/>
          <w:color w:val="003366"/>
          <w:sz w:val="20"/>
          <w:szCs w:val="20"/>
        </w:rPr>
        <w:t xml:space="preserve">m(k) = 0.97 × C(N, k) / C(S, k) × gateAdjust</w:t>
      </w:r>
    </w:p>
    <w:p>
      <w:pPr>
        <w:spacing w:after="180"/>
      </w:pPr>
      <w:r>
        <w:rPr>
          <w:rFonts w:ascii="Arial" w:cs="Arial" w:eastAsia="Arial" w:hAnsi="Arial"/>
          <w:color w:val="111111"/>
          <w:sz w:val="22"/>
          <w:szCs w:val="22"/>
        </w:rPr>
        <w:t xml:space="preserve">N is always the actual grid tile count. The same formula governs all four grids. The curve steepens dramatically at higher mine counts and on smaller grids — a 3×3 with 3 mines at click 3 pays 3.24×; the same scenario on a 5×5 pays 1.45×. The gateAdjust accumulator tracks the cumulative product of all gate coefficients applied during the round, allowing the multiplier to continue climbing correctly from whatever the gate set as the new baseline.</w:t>
      </w:r>
    </w:p>
    <w:p>
      <w:pPr>
        <w:pStyle w:val="Heading2"/>
        <w:spacing w:after="120" w:before="300"/>
      </w:pPr>
      <w:r>
        <w:rPr>
          <w:rFonts w:ascii="Arial" w:cs="Arial" w:eastAsia="Arial" w:hAnsi="Arial"/>
          <w:b/>
          <w:bCs/>
          <w:color w:val="003366"/>
          <w:sz w:val="26"/>
          <w:szCs w:val="26"/>
        </w:rPr>
        <w:t xml:space="preserve">3.3 Tenth Click Fate System</w:t>
      </w:r>
    </w:p>
    <w:p>
      <w:pPr>
        <w:spacing w:after="180"/>
      </w:pPr>
      <w:r>
        <w:rPr>
          <w:rFonts w:ascii="Arial" w:cs="Arial" w:eastAsia="Arial" w:hAnsi="Arial"/>
          <w:color w:val="111111"/>
          <w:sz w:val="22"/>
          <w:szCs w:val="22"/>
        </w:rPr>
        <w:t xml:space="preserve">The gate is CyberMines' core structural innovation. It fires at every 10th safe reveal (k=10, 20, 30…) and draws from a four-outcome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3726"/>
      </w:tblGrid>
      <w:tr>
        <w:trPr>
          <w:tblHeader/>
        </w:trPr>
        <w:tc>
          <w:tcPr>
            <w:tcW w:type="dxa" w:w="14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Outcome</w:t>
            </w:r>
          </w:p>
        </w:tc>
        <w:tc>
          <w:tcPr>
            <w:tcW w:type="dxa" w:w="13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Coefficient</w:t>
            </w:r>
          </w:p>
        </w:tc>
        <w:tc>
          <w:tcPr>
            <w:tcW w:type="dxa" w:w="13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Probability</w:t>
            </w:r>
          </w:p>
        </w:tc>
        <w:tc>
          <w:tcPr>
            <w:tcW w:type="dxa" w:w="13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E contribution</w:t>
            </w:r>
          </w:p>
        </w:tc>
        <w:tc>
          <w:tcPr>
            <w:tcW w:type="dxa" w:w="3726"/>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Player experience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0.600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Nothing changes. Multiplier held exactly. Game resumes immediately.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BOOST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0.375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Multiplier boosted 50%. Audio: ascending triad.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SPARK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0.300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Multiplier tripled. Audio: four-note arpeggio.</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INFERNO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0.250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Multiplier quintupled. Audio: extended major sixth chord resolution.</w:t>
            </w:r>
          </w:p>
        </w:tc>
      </w:tr>
      <w:tr>
        <w:trPr>
          <w:tblHeader/>
        </w:trPr>
        <w:tc>
          <w:tcPr>
            <w:tcW w:type="dxa" w:w="20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Gate EV</w:t>
            </w:r>
          </w:p>
        </w:tc>
        <w:tc>
          <w:tcPr>
            <w:tcW w:type="dxa" w:w="20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E[G] = 1.525</w:t>
            </w:r>
          </w:p>
        </w:tc>
        <w:tc>
          <w:tcPr>
            <w:tcW w:type="dxa" w:w="20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100%</w:t>
            </w:r>
          </w:p>
        </w:tc>
        <w:tc>
          <w:tcPr>
            <w:tcW w:type="dxa" w:w="20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
            </w:r>
          </w:p>
        </w:tc>
        <w:tc>
          <w:tcPr>
            <w:tcW w:type="dxa" w:w="20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Positive EV — rewards reaching click 10</w:t>
            </w:r>
          </w:p>
        </w:tc>
      </w:tr>
    </w:tbl>
    <w:p>
      <w:pPr>
        <w:spacing w:after="60"/>
      </w:pPr>
      <w:r>
        <w:rPr>
          <w:rFonts w:ascii="Arial" w:cs="Arial" w:eastAsia="Arial" w:hAnsi="Arial"/>
          <w:sz w:val="10"/>
          <w:szCs w:val="10"/>
        </w:rPr>
        <w:t xml:space="preserve"/>
      </w:r>
    </w:p>
    <w:p>
      <w:pPr>
        <w:pBdr>
          <w:left w:val="single" w:color="003366" w:sz="14"/>
        </w:pBdr>
        <w:spacing w:after="220"/>
        <w:ind w:left="320"/>
      </w:pPr>
      <w:r>
        <w:rPr>
          <w:rFonts w:ascii="Arial" w:cs="Arial" w:eastAsia="Arial" w:hAnsi="Arial"/>
          <w:color w:val="444444"/>
          <w:sz w:val="22"/>
          <w:szCs w:val="22"/>
        </w:rPr>
        <w:t xml:space="preserve">Critical design principle: the gate is never punishing. Worst case (60%) it is a non-event — a brief animation resolves to no change and the round continues. This is the psychological key. The gate cannot cause regret. It can only generate neutral continuation or positive surprise. The house edge is maintained entirely through the base hypergeometric h parameter — not through the gate.</w:t>
      </w:r>
    </w:p>
    <w:p>
      <w:pPr>
        <w:pStyle w:val="Heading2"/>
        <w:spacing w:after="120" w:before="300"/>
      </w:pPr>
      <w:r>
        <w:rPr>
          <w:rFonts w:ascii="Arial" w:cs="Arial" w:eastAsia="Arial" w:hAnsi="Arial"/>
          <w:b/>
          <w:bCs/>
          <w:color w:val="003366"/>
          <w:sz w:val="26"/>
          <w:szCs w:val="26"/>
        </w:rPr>
        <w:t xml:space="preserve">3.4 Multi-Gate Compounding</w:t>
      </w:r>
    </w:p>
    <w:p>
      <w:pPr>
        <w:spacing w:after="180"/>
      </w:pPr>
      <w:r>
        <w:rPr>
          <w:rFonts w:ascii="Arial" w:cs="Arial" w:eastAsia="Arial" w:hAnsi="Arial"/>
          <w:color w:val="111111"/>
          <w:sz w:val="22"/>
          <w:szCs w:val="22"/>
        </w:rPr>
        <w:t xml:space="preserve">On a 7×7 grid with M=1 mine, a player can theoretically cross four gates in a single round (k=10, 20, 30, 40). A run of four INFERNO outcomes — each with 5% probability — would apply 5⁴ = 625× to the base hypergeometric multiplier. At k=40 on a 7×7 with M=1, the base multiplier is approximately 2.46×. Post four-INFERNO gate: 2.46 × 625 = 1,537.5×. On a 1 unit bet, this is a 1,537-unit return — a life-changing outcome within a single round. No other Mines implementation can generate this class of outcome.</w:t>
      </w:r>
    </w:p>
    <w:p>
      <w:pPr>
        <w:spacing w:after="180"/>
      </w:pPr>
      <w:r>
        <w:rPr>
          <w:rFonts w:ascii="Arial" w:cs="Arial" w:eastAsia="Arial" w:hAnsi="Arial"/>
          <w:color w:val="111111"/>
          <w:sz w:val="22"/>
          <w:szCs w:val="22"/>
        </w:rPr>
        <w:t xml:space="preserve">The probability of four consecutive INFERNO draws is 0.05⁴ = 0.000625% per eligible round. At reasonable player volumes this event is statistically certain to occur at scale, and when it does, it will be a streaming and social media moment of category-defining magnitude.</w:t>
      </w:r>
    </w:p>
    <w:p>
      <w:pPr>
        <w:pStyle w:val="Heading1"/>
        <w:spacing w:after="160" w:before="480"/>
      </w:pPr>
      <w:r>
        <w:rPr>
          <w:rFonts w:ascii="Arial" w:cs="Arial" w:eastAsia="Arial" w:hAnsi="Arial"/>
          <w:b/>
          <w:bCs/>
          <w:color w:val="CC0088"/>
          <w:sz w:val="32"/>
          <w:szCs w:val="32"/>
        </w:rPr>
        <w:t xml:space="preserve">4. Behavioural Psychology &amp; Engagement Architecture</w:t>
      </w:r>
    </w:p>
    <w:p>
      <w:pPr>
        <w:spacing w:after="180"/>
      </w:pPr>
      <w:r>
        <w:rPr>
          <w:rFonts w:ascii="Arial" w:cs="Arial" w:eastAsia="Arial" w:hAnsi="Arial"/>
          <w:color w:val="111111"/>
          <w:sz w:val="22"/>
          <w:szCs w:val="22"/>
        </w:rPr>
        <w:t xml:space="preserve">This section documents the psychological mechanisms CyberMines activates and how they have been deliberately engineered into the product. Understanding these mechanisms is essential context for responsible gambling compliance planning (Section 8) as well as commercial engagement forecasting.</w:t>
      </w:r>
    </w:p>
    <w:p>
      <w:pPr>
        <w:pStyle w:val="Heading2"/>
        <w:spacing w:after="120" w:before="300"/>
      </w:pPr>
      <w:r>
        <w:rPr>
          <w:rFonts w:ascii="Arial" w:cs="Arial" w:eastAsia="Arial" w:hAnsi="Arial"/>
          <w:b/>
          <w:bCs/>
          <w:color w:val="003366"/>
          <w:sz w:val="26"/>
          <w:szCs w:val="26"/>
        </w:rPr>
        <w:t xml:space="preserve">4.1 Variable-Ratio Reinforcement — The Foundation</w:t>
      </w:r>
    </w:p>
    <w:p>
      <w:pPr>
        <w:spacing w:after="180"/>
      </w:pPr>
      <w:r>
        <w:rPr>
          <w:rFonts w:ascii="Arial" w:cs="Arial" w:eastAsia="Arial" w:hAnsi="Arial"/>
          <w:color w:val="111111"/>
          <w:sz w:val="22"/>
          <w:szCs w:val="22"/>
        </w:rPr>
        <w:t xml:space="preserve">Skinner's variable-ratio reinforcement schedule produces the highest response rates and the most extinction-resistant behaviour of any reinforcement paradigm. Unlike fixed-ratio schedules (reward after every N responses) or fixed-interval schedules (reward after N seconds), variable-ratio schedules reward behaviour after an unpredictable number of responses — the player never knows whether the next click is the one that pays. Slot machines operate on this principle. So does CyberMines, but with a critical structural difference.</w:t>
      </w:r>
    </w:p>
    <w:p>
      <w:pPr>
        <w:spacing w:after="180"/>
      </w:pPr>
      <w:r>
        <w:rPr>
          <w:rFonts w:ascii="Arial" w:cs="Arial" w:eastAsia="Arial" w:hAnsi="Arial"/>
          <w:color w:val="111111"/>
          <w:sz w:val="22"/>
          <w:szCs w:val="22"/>
        </w:rPr>
        <w:t xml:space="preserve">In a slot machine, the reinforcement schedule is entirely hidden. The player has no agency over outcomes and no information about state. In CyberMines, the player has complete information about the probability of the next click being safe (it is displayed in the UI as "1st click survival %") and complete agency over whether to continue. This combination — transparent probability, real agency, variable outcome — produces a reinforcement profile that is more engaging than a pure slot, because the player attributes outcomes to their own decisions. Wins feel earned. Losses feel narrowly avoidable. Both responses drive continued play.</w:t>
      </w:r>
    </w:p>
    <w:p>
      <w:pPr>
        <w:spacing w:after="180"/>
      </w:pPr>
      <w:r>
        <w:rPr>
          <w:rFonts w:ascii="Arial" w:cs="Arial" w:eastAsia="Arial" w:hAnsi="Arial"/>
          <w:color w:val="111111"/>
          <w:sz w:val="22"/>
          <w:szCs w:val="22"/>
        </w:rPr>
        <w:t xml:space="preserve">CyberMines layers two independent variable-ratio schedules:</w:t>
      </w:r>
    </w:p>
    <w:p>
      <w:pPr>
        <w:spacing w:after="100"/>
        <w:ind w:left="440" w:hanging="220"/>
      </w:pPr>
      <w:r>
        <w:rPr>
          <w:rFonts w:ascii="Arial" w:cs="Arial" w:eastAsia="Arial" w:hAnsi="Arial"/>
          <w:color w:val="111111"/>
          <w:sz w:val="22"/>
          <w:szCs w:val="22"/>
        </w:rPr>
        <w:t xml:space="preserve">•  Click-level schedule: each tile click is reinforced (safe reveal with multiplier gain) or extinguished (mine detonation) under hypergeometric probability that changes with every click. The ratio is variable — the player never knows if the next click is their last.</w:t>
      </w:r>
    </w:p>
    <w:p>
      <w:pPr>
        <w:spacing w:after="100"/>
        <w:ind w:left="440" w:hanging="220"/>
      </w:pPr>
      <w:r>
        <w:rPr>
          <w:rFonts w:ascii="Arial" w:cs="Arial" w:eastAsia="Arial" w:hAnsi="Arial"/>
          <w:color w:val="111111"/>
          <w:sz w:val="22"/>
          <w:szCs w:val="22"/>
        </w:rPr>
        <w:t xml:space="preserve">•  Gate-level schedule: every tenth safe reveal triggers a gate draw with four possible outcomes. The gate outcome is drawn fresh each time — a completely independent variable-ratio event nested within the click-level schedule. Compound variable-ratio schedules produce extinction resistance that exceeds either component schedule in isolation — a well-established finding in operant conditioning research.</w:t>
      </w:r>
    </w:p>
    <w:p>
      <w:pPr>
        <w:pStyle w:val="Heading2"/>
        <w:spacing w:after="120" w:before="300"/>
      </w:pPr>
      <w:r>
        <w:rPr>
          <w:rFonts w:ascii="Arial" w:cs="Arial" w:eastAsia="Arial" w:hAnsi="Arial"/>
          <w:b/>
          <w:bCs/>
          <w:color w:val="003366"/>
          <w:sz w:val="26"/>
          <w:szCs w:val="26"/>
        </w:rPr>
        <w:t xml:space="preserve">4.2 The Near-Miss Effect</w:t>
      </w:r>
    </w:p>
    <w:p>
      <w:pPr>
        <w:spacing w:after="180"/>
      </w:pPr>
      <w:r>
        <w:rPr>
          <w:rFonts w:ascii="Arial" w:cs="Arial" w:eastAsia="Arial" w:hAnsi="Arial"/>
          <w:color w:val="111111"/>
          <w:sz w:val="22"/>
          <w:szCs w:val="22"/>
        </w:rPr>
        <w:t xml:space="preserve">Near-miss events — outcomes that fall just short of a maximum reward — produce heightened arousal, increased dopaminergic activation, and stronger continued-play motivation than complete misses, despite being objectively equivalent in payout terms. The near-miss effect was first documented in slot machine research (Reid, 1986; Griffiths, 1991) and has been replicated extensively in neuroimaging studies showing that near-misses activate the same mesolimbic reward circuitry as actual wins.</w:t>
      </w:r>
    </w:p>
    <w:p>
      <w:pPr>
        <w:spacing w:after="180"/>
      </w:pPr>
      <w:r>
        <w:rPr>
          <w:rFonts w:ascii="Arial" w:cs="Arial" w:eastAsia="Arial" w:hAnsi="Arial"/>
          <w:color w:val="111111"/>
          <w:sz w:val="22"/>
          <w:szCs w:val="22"/>
        </w:rPr>
        <w:t xml:space="preserve">CyberMines engineers the near-miss effect at three distinct points in every session:</w:t>
      </w:r>
    </w:p>
    <w:p>
      <w:pPr>
        <w:pStyle w:val="Heading3"/>
        <w:spacing w:after="100" w:before="220"/>
      </w:pPr>
      <w:r>
        <w:rPr>
          <w:rFonts w:ascii="Arial" w:cs="Arial" w:eastAsia="Arial" w:hAnsi="Arial"/>
          <w:b/>
          <w:bCs/>
          <w:color w:val="1a1a66"/>
          <w:sz w:val="22"/>
          <w:szCs w:val="22"/>
        </w:rPr>
        <w:t xml:space="preserve">4.2.1 Tile-Level Near-Miss</w:t>
      </w:r>
    </w:p>
    <w:p>
      <w:pPr>
        <w:spacing w:after="180"/>
      </w:pPr>
      <w:r>
        <w:rPr>
          <w:rFonts w:ascii="Arial" w:cs="Arial" w:eastAsia="Arial" w:hAnsi="Arial"/>
          <w:color w:val="111111"/>
          <w:sz w:val="22"/>
          <w:szCs w:val="22"/>
        </w:rPr>
        <w:t xml:space="preserve">The player's spatial reasoning creates a continuous subjective near-miss experience. On a 5×5 grid with M=3, the player knows three mines are distributed across 25 tiles. As they reveal safe tiles, the remaining unrevealed space contracts. Each new click feels like it could have been a mine — the player experiences the near-miss retroactively for every tile that was safe. This is equivalent to the slot machine near-miss structure: a mental simulation of the bad outcome that didn't happen, which produces the same arousal as the near-miss itself.</w:t>
      </w:r>
    </w:p>
    <w:p>
      <w:pPr>
        <w:pStyle w:val="Heading3"/>
        <w:spacing w:after="100" w:before="220"/>
      </w:pPr>
      <w:r>
        <w:rPr>
          <w:rFonts w:ascii="Arial" w:cs="Arial" w:eastAsia="Arial" w:hAnsi="Arial"/>
          <w:b/>
          <w:bCs/>
          <w:color w:val="1a1a66"/>
          <w:sz w:val="22"/>
          <w:szCs w:val="22"/>
        </w:rPr>
        <w:t xml:space="preserve">4.2.2 Gate Animation Near-Miss</w:t>
      </w:r>
    </w:p>
    <w:p>
      <w:pPr>
        <w:spacing w:after="180"/>
      </w:pPr>
      <w:r>
        <w:rPr>
          <w:rFonts w:ascii="Arial" w:cs="Arial" w:eastAsia="Arial" w:hAnsi="Arial"/>
          <w:color w:val="111111"/>
          <w:sz w:val="22"/>
          <w:szCs w:val="22"/>
        </w:rPr>
        <w:t xml:space="preserve">The gate animation is the most deliberately engineered near-miss event in the product. The 20-step deceleration sequence slows visibly through each of the four cards — PASS, BOOST, SPARK, INFERNO — before landing on the true outcome. A player who lands BOOST will have watched the animation slow perceptibly near SPARK and INFERNO on the way. Neurologically, the near-miss to INFERNO is indistinguishable from an actual INFERNO approach and retreat — the same anticipatory dopamine spike and resolution valley occur, regardless of the actual outcome.</w:t>
      </w:r>
    </w:p>
    <w:p>
      <w:pPr>
        <w:spacing w:after="180"/>
      </w:pPr>
      <w:r>
        <w:rPr>
          <w:rFonts w:ascii="Arial" w:cs="Arial" w:eastAsia="Arial" w:hAnsi="Arial"/>
          <w:color w:val="111111"/>
          <w:sz w:val="22"/>
          <w:szCs w:val="22"/>
        </w:rPr>
        <w:t xml:space="preserve">The gate animation timing has been calibrated to maximise this effect: fast enough (approximately 1.2 seconds total) to maintain session momentum, slow enough at the deceleration tail (approximately 220ms per card) to register each alternative as a genuine near-miss candidate.</w:t>
      </w:r>
    </w:p>
    <w:p>
      <w:pPr>
        <w:pStyle w:val="Heading3"/>
        <w:spacing w:after="100" w:before="220"/>
      </w:pPr>
      <w:r>
        <w:rPr>
          <w:rFonts w:ascii="Arial" w:cs="Arial" w:eastAsia="Arial" w:hAnsi="Arial"/>
          <w:b/>
          <w:bCs/>
          <w:color w:val="1a1a66"/>
          <w:sz w:val="22"/>
          <w:szCs w:val="22"/>
        </w:rPr>
        <w:t xml:space="preserve">4.2.3 Session-End Near-Miss</w:t>
      </w:r>
    </w:p>
    <w:p>
      <w:pPr>
        <w:spacing w:after="180"/>
      </w:pPr>
      <w:r>
        <w:rPr>
          <w:rFonts w:ascii="Arial" w:cs="Arial" w:eastAsia="Arial" w:hAnsi="Arial"/>
          <w:color w:val="111111"/>
          <w:sz w:val="22"/>
          <w:szCs w:val="22"/>
        </w:rPr>
        <w:t xml:space="preserve">When a player detonates a mine, the board reveals all remaining mine positions. Players who see mines adjacent to tiles they were considering clicking experience a post-hoc near-miss of the worst type — "if I had clicked there instead of here, I would still be playing." This cognitive experience is a powerful replay motivator. The game is reset automatically without an intrusive "you lost" overlay, reducing friction between the near-miss experience and the decision to continue playing.</w:t>
      </w:r>
    </w:p>
    <w:p>
      <w:pPr>
        <w:pStyle w:val="Heading2"/>
        <w:spacing w:after="120" w:before="300"/>
      </w:pPr>
      <w:r>
        <w:rPr>
          <w:rFonts w:ascii="Arial" w:cs="Arial" w:eastAsia="Arial" w:hAnsi="Arial"/>
          <w:b/>
          <w:bCs/>
          <w:color w:val="003366"/>
          <w:sz w:val="26"/>
          <w:szCs w:val="26"/>
        </w:rPr>
        <w:t xml:space="preserve">4.3 Reward Anticipation Architecture — Dopamine Is in the Waiting</w:t>
      </w:r>
    </w:p>
    <w:p>
      <w:pPr>
        <w:spacing w:after="180"/>
      </w:pPr>
      <w:r>
        <w:rPr>
          <w:rFonts w:ascii="Arial" w:cs="Arial" w:eastAsia="Arial" w:hAnsi="Arial"/>
          <w:color w:val="111111"/>
          <w:sz w:val="22"/>
          <w:szCs w:val="22"/>
        </w:rPr>
        <w:t xml:space="preserve">A fundamental misunderstanding about dopaminergic reward systems — corrected by Wolfram Schultz's foundational neuroimaging work in the 1990s and extensively confirmed since — is that dopamine release peaks not at reward delivery but at reward anticipation. The dopaminergic spike associated with a gambling event occurs when the player begins to wait for the outcome, not when the outcome is revealed. The outcome itself produces a smaller secondary response.</w:t>
      </w:r>
    </w:p>
    <w:p>
      <w:pPr>
        <w:spacing w:after="180"/>
      </w:pPr>
      <w:r>
        <w:rPr>
          <w:rFonts w:ascii="Arial" w:cs="Arial" w:eastAsia="Arial" w:hAnsi="Arial"/>
          <w:color w:val="111111"/>
          <w:sz w:val="22"/>
          <w:szCs w:val="22"/>
        </w:rPr>
        <w:t xml:space="preserve">This has a critical design implication: the most neurologically valuable moment in a gambling product is not the win — it is the period of maximum uncertainty immediately before the win is known. CyberMines is architecturally optimised to maximise the proportion of session time the player spends in this high-anticipation state:</w:t>
      </w:r>
    </w:p>
    <w:p>
      <w:pPr>
        <w:spacing w:after="100"/>
        <w:ind w:left="440" w:hanging="220"/>
      </w:pPr>
      <w:r>
        <w:rPr>
          <w:rFonts w:ascii="Arial" w:cs="Arial" w:eastAsia="Arial" w:hAnsi="Arial"/>
          <w:color w:val="111111"/>
          <w:sz w:val="22"/>
          <w:szCs w:val="22"/>
        </w:rPr>
        <w:t xml:space="preserve">•  Every tile click is a micro-anticipation event — the ~100ms between tap and reveal is a brief dopaminergic spike.</w:t>
      </w:r>
    </w:p>
    <w:p>
      <w:pPr>
        <w:spacing w:after="100"/>
        <w:ind w:left="440" w:hanging="220"/>
      </w:pPr>
      <w:r>
        <w:rPr>
          <w:rFonts w:ascii="Arial" w:cs="Arial" w:eastAsia="Arial" w:hAnsi="Arial"/>
          <w:color w:val="111111"/>
          <w:sz w:val="22"/>
          <w:szCs w:val="22"/>
        </w:rPr>
        <w:t xml:space="preserve">•  The multiplier displayed after each safe pick quantifies the value at risk on the next click — making the anticipation state concrete and visible.</w:t>
      </w:r>
    </w:p>
    <w:p>
      <w:pPr>
        <w:spacing w:after="100"/>
        <w:ind w:left="440" w:hanging="220"/>
      </w:pPr>
      <w:r>
        <w:rPr>
          <w:rFonts w:ascii="Arial" w:cs="Arial" w:eastAsia="Arial" w:hAnsi="Arial"/>
          <w:color w:val="111111"/>
          <w:sz w:val="22"/>
          <w:szCs w:val="22"/>
        </w:rPr>
        <w:t xml:space="preserve">•  The gate countdown (displayed as "[N] clicks until gate" in the picks counter) creates a ten-click anticipation arc toward a known high-variance event — a sustained elevated anticipation state lasting 30–120 seconds depending on pace.</w:t>
      </w:r>
    </w:p>
    <w:p>
      <w:pPr>
        <w:spacing w:after="100"/>
        <w:ind w:left="440" w:hanging="220"/>
      </w:pPr>
      <w:r>
        <w:rPr>
          <w:rFonts w:ascii="Arial" w:cs="Arial" w:eastAsia="Arial" w:hAnsi="Arial"/>
          <w:color w:val="111111"/>
          <w:sz w:val="22"/>
          <w:szCs w:val="22"/>
        </w:rPr>
        <w:t xml:space="preserve">•  The gate animation itself is a 1.2-second pure anticipation event — outcome already determined by the hash, but neurologically a live high-uncertainty period. This is the most densely engineered anticipation moment in the product.</w:t>
      </w:r>
    </w:p>
    <w:p>
      <w:pPr>
        <w:spacing w:after="180"/>
      </w:pPr>
      <w:r>
        <w:rPr>
          <w:rFonts w:ascii="Arial" w:cs="Arial" w:eastAsia="Arial" w:hAnsi="Arial"/>
          <w:color w:val="111111"/>
          <w:sz w:val="22"/>
          <w:szCs w:val="22"/>
        </w:rPr>
        <w:t xml:space="preserve">Players spend the majority of their session time in these anticipation states. The actual outcome delivery — safe tile reveal, mine detonation, gate result — is brief. CyberMines' session-time distribution between anticipation and delivery is structurally superior to any product where outcomes resolve instantaneously (slots) or where there is no structured event to anticipate (conventional Mines).</w:t>
      </w:r>
    </w:p>
    <w:p>
      <w:pPr>
        <w:pStyle w:val="Heading2"/>
        <w:spacing w:after="120" w:before="300"/>
      </w:pPr>
      <w:r>
        <w:rPr>
          <w:rFonts w:ascii="Arial" w:cs="Arial" w:eastAsia="Arial" w:hAnsi="Arial"/>
          <w:b/>
          <w:bCs/>
          <w:color w:val="003366"/>
          <w:sz w:val="26"/>
          <w:szCs w:val="26"/>
        </w:rPr>
        <w:t xml:space="preserve">4.4 Loss Aversion and the Sunk Cost Dynamic</w:t>
      </w:r>
    </w:p>
    <w:p>
      <w:pPr>
        <w:spacing w:after="180"/>
      </w:pPr>
      <w:r>
        <w:rPr>
          <w:rFonts w:ascii="Arial" w:cs="Arial" w:eastAsia="Arial" w:hAnsi="Arial"/>
          <w:color w:val="111111"/>
          <w:sz w:val="22"/>
          <w:szCs w:val="22"/>
        </w:rPr>
        <w:t xml:space="preserve">Kahneman and Tversky's Prospect Theory (1979) established that losses are psychologically weighted approximately 2.25× more heavily than equivalent gains. This asymmetry drives two behaviours that CyberMines structurally exploits:</w:t>
      </w:r>
    </w:p>
    <w:p>
      <w:pPr>
        <w:pStyle w:val="Heading3"/>
        <w:spacing w:after="100" w:before="220"/>
      </w:pPr>
      <w:r>
        <w:rPr>
          <w:rFonts w:ascii="Arial" w:cs="Arial" w:eastAsia="Arial" w:hAnsi="Arial"/>
          <w:b/>
          <w:bCs/>
          <w:color w:val="1a1a66"/>
          <w:sz w:val="22"/>
          <w:szCs w:val="22"/>
        </w:rPr>
        <w:t xml:space="preserve">4.4.1 Escalation of Commitment</w:t>
      </w:r>
    </w:p>
    <w:p>
      <w:pPr>
        <w:spacing w:after="180"/>
      </w:pPr>
      <w:r>
        <w:rPr>
          <w:rFonts w:ascii="Arial" w:cs="Arial" w:eastAsia="Arial" w:hAnsi="Arial"/>
          <w:color w:val="111111"/>
          <w:sz w:val="22"/>
          <w:szCs w:val="22"/>
        </w:rPr>
        <w:t xml:space="preserve">Players who have accumulated a meaningful multiplier — say 4× at click 9 — experience the potential loss of that multiplier as a loss event, not merely a foregone gain. The failure to cash out before the mine that ends the round is mentally processed as losing 4× of their bet, not simply as "not winning 4×." This reframing substantially raises the subjective cost of stopping, because stopping requires mentally accepting an as-yet-unrealised loss. Players continue clicking to avoid crystallising this loss — a textbook escalation-of-commitment dynamic.</w:t>
      </w:r>
    </w:p>
    <w:p>
      <w:pPr>
        <w:pStyle w:val="Heading3"/>
        <w:spacing w:after="100" w:before="220"/>
      </w:pPr>
      <w:r>
        <w:rPr>
          <w:rFonts w:ascii="Arial" w:cs="Arial" w:eastAsia="Arial" w:hAnsi="Arial"/>
          <w:b/>
          <w:bCs/>
          <w:color w:val="1a1a66"/>
          <w:sz w:val="22"/>
          <w:szCs w:val="22"/>
        </w:rPr>
        <w:t xml:space="preserve">4.4.2 The Gate as a Loss Aversion Trap</w:t>
      </w:r>
    </w:p>
    <w:p>
      <w:pPr>
        <w:spacing w:after="180"/>
      </w:pPr>
      <w:r>
        <w:rPr>
          <w:rFonts w:ascii="Arial" w:cs="Arial" w:eastAsia="Arial" w:hAnsi="Arial"/>
          <w:color w:val="111111"/>
          <w:sz w:val="22"/>
          <w:szCs w:val="22"/>
        </w:rPr>
        <w:t xml:space="preserve">At click 9, the player knows the gate fires at click 10. They have accumulated a multiplier they have not cashed out. Clicking once more to reach the gate requires accepting the risk of detonation — but not clicking means leaving the gate unreached and potentially missing a BOOST, SPARK, or INFERNO event. Loss aversion applies in both directions: the potential loss of the existing multiplier (from detonation) and the potential loss of the gate opportunity (from cashing out). This double-bind is the highest-tension decision point in the game, and it recurs at every multiple of ten.</w:t>
      </w:r>
    </w:p>
    <w:p>
      <w:pPr>
        <w:spacing w:after="180"/>
      </w:pPr>
      <w:r>
        <w:rPr>
          <w:rFonts w:ascii="Arial" w:cs="Arial" w:eastAsia="Arial" w:hAnsi="Arial"/>
          <w:color w:val="111111"/>
          <w:sz w:val="22"/>
          <w:szCs w:val="22"/>
        </w:rPr>
        <w:t xml:space="preserve">The fact that the gate is always positive (worst case: no change) reduces but does not eliminate this tension, because reaching the gate still requires the click-10 detonation risk. The gate amplifies loss aversion without providing a clean escape from it.</w:t>
      </w:r>
    </w:p>
    <w:p>
      <w:pPr>
        <w:pStyle w:val="Heading2"/>
        <w:spacing w:after="120" w:before="300"/>
      </w:pPr>
      <w:r>
        <w:rPr>
          <w:rFonts w:ascii="Arial" w:cs="Arial" w:eastAsia="Arial" w:hAnsi="Arial"/>
          <w:b/>
          <w:bCs/>
          <w:color w:val="003366"/>
          <w:sz w:val="26"/>
          <w:szCs w:val="26"/>
        </w:rPr>
        <w:t xml:space="preserve">4.5 The Endowment Effect and "One More Click"</w:t>
      </w:r>
    </w:p>
    <w:p>
      <w:pPr>
        <w:spacing w:after="180"/>
      </w:pPr>
      <w:r>
        <w:rPr>
          <w:rFonts w:ascii="Arial" w:cs="Arial" w:eastAsia="Arial" w:hAnsi="Arial"/>
          <w:color w:val="111111"/>
          <w:sz w:val="22"/>
          <w:szCs w:val="22"/>
        </w:rPr>
        <w:t xml:space="preserve">Thaler's endowment effect (1980) demonstrates that people assign greater value to objects they already possess than to identical objects they do not. In CyberMines, the accumulated multiplier is a form of psychological possession — the player has "earned" it through surviving the preceding clicks. Cashing out is experienced as giving up something owned. The sunk effort of each preceding safe click increases the subjective value of the multiplier without any corresponding increase in objective expected value.</w:t>
      </w:r>
    </w:p>
    <w:p>
      <w:pPr>
        <w:spacing w:after="180"/>
      </w:pPr>
      <w:r>
        <w:rPr>
          <w:rFonts w:ascii="Arial" w:cs="Arial" w:eastAsia="Arial" w:hAnsi="Arial"/>
          <w:color w:val="111111"/>
          <w:sz w:val="22"/>
          <w:szCs w:val="22"/>
        </w:rPr>
        <w:t xml:space="preserve">This generates the "one more click" loop that is the central retention mechanism of the Mines category. Each safe click creates a new reference point for the endowment effect — the current multiplier is now "owned," and the player considers one more click in the context of their possession, not in the context of the original bet. The loop is self-reinforcing and scale-invariant: it operates identically at multiplier 1.1× (click 1) and at multiplier 100× (after multiple gate boosts).</w:t>
      </w:r>
    </w:p>
    <w:p>
      <w:pPr>
        <w:pStyle w:val="Heading2"/>
        <w:spacing w:after="120" w:before="300"/>
      </w:pPr>
      <w:r>
        <w:rPr>
          <w:rFonts w:ascii="Arial" w:cs="Arial" w:eastAsia="Arial" w:hAnsi="Arial"/>
          <w:b/>
          <w:bCs/>
          <w:color w:val="003366"/>
          <w:sz w:val="26"/>
          <w:szCs w:val="26"/>
        </w:rPr>
        <w:t xml:space="preserve">4.6 Flow State and the Optimal Anxiety Channel</w:t>
      </w:r>
    </w:p>
    <w:p>
      <w:pPr>
        <w:spacing w:after="180"/>
      </w:pPr>
      <w:r>
        <w:rPr>
          <w:rFonts w:ascii="Arial" w:cs="Arial" w:eastAsia="Arial" w:hAnsi="Arial"/>
          <w:color w:val="111111"/>
          <w:sz w:val="22"/>
          <w:szCs w:val="22"/>
        </w:rPr>
        <w:t xml:space="preserve">Csikszentmihalyi's flow theory identifies an "optimal anxiety channel" — a psychological state of maximum engagement occurring when challenge and skill are balanced. Too little challenge produces boredom; too much produces anxiety and disengagement. Flow state is characterised by time distortion (sessions feel shorter than they are), effortful attention without fatigue, and high intrinsic motivation to continue.</w:t>
      </w:r>
    </w:p>
    <w:p>
      <w:pPr>
        <w:spacing w:after="180"/>
      </w:pPr>
      <w:r>
        <w:rPr>
          <w:rFonts w:ascii="Arial" w:cs="Arial" w:eastAsia="Arial" w:hAnsi="Arial"/>
          <w:color w:val="111111"/>
          <w:sz w:val="22"/>
          <w:szCs w:val="22"/>
        </w:rPr>
        <w:t xml:space="preserve">CyberMines generates flow state through a dynamic challenge calibration mechanism that the player controls without realising it. Mine count selection sets the baseline difficulty — players who find 3 mines too easy increase to 5 or 8; players overwhelmed by 8 mines reduce to 3. The player self-selects into their personal optimal anxiety channel every round. Grid size provides a second calibration axis: players who find the 5×5 too slow can increase to 7×7 for a longer session with lower per-click tension, or decrease to 3×3 for maximum per-click intensity with a shorter horizon.</w:t>
      </w:r>
    </w:p>
    <w:p>
      <w:pPr>
        <w:spacing w:after="180"/>
      </w:pPr>
      <w:r>
        <w:rPr>
          <w:rFonts w:ascii="Arial" w:cs="Arial" w:eastAsia="Arial" w:hAnsi="Arial"/>
          <w:color w:val="111111"/>
          <w:sz w:val="22"/>
          <w:szCs w:val="22"/>
        </w:rPr>
        <w:t xml:space="preserve">The gate mechanic disrupts flow state briefly — an intentional interruption that resets the player's emotional baseline and allows a new flow cycle to begin from the recalibrated multiplier baseline. This interruption-and-reset pattern is associated with extended session duration because it prevents the emotional habituation that degrades flow.</w:t>
      </w:r>
    </w:p>
    <w:p>
      <w:pPr>
        <w:pStyle w:val="Heading2"/>
        <w:spacing w:after="120" w:before="300"/>
      </w:pPr>
      <w:r>
        <w:rPr>
          <w:rFonts w:ascii="Arial" w:cs="Arial" w:eastAsia="Arial" w:hAnsi="Arial"/>
          <w:b/>
          <w:bCs/>
          <w:color w:val="003366"/>
          <w:sz w:val="26"/>
          <w:szCs w:val="26"/>
        </w:rPr>
        <w:t xml:space="preserve">4.7 Social Proof and the Shareable Moment</w:t>
      </w:r>
    </w:p>
    <w:p>
      <w:pPr>
        <w:spacing w:after="180"/>
      </w:pPr>
      <w:r>
        <w:rPr>
          <w:rFonts w:ascii="Arial" w:cs="Arial" w:eastAsia="Arial" w:hAnsi="Arial"/>
          <w:color w:val="111111"/>
          <w:sz w:val="22"/>
          <w:szCs w:val="22"/>
        </w:rPr>
        <w:t xml:space="preserve">Casino streaming is a substantial and growing player acquisition channel. Stake sponsors hundreds of streamers; Rollbit has built proprietary streaming tools. The product characteristic that drives the most streaming value is the shareable extreme outcome — the moment of maximum surprise and emotional intensity that a streamer's audience can vicariously experience.</w:t>
      </w:r>
    </w:p>
    <w:p>
      <w:pPr>
        <w:spacing w:after="180"/>
      </w:pPr>
      <w:r>
        <w:rPr>
          <w:rFonts w:ascii="Arial" w:cs="Arial" w:eastAsia="Arial" w:hAnsi="Arial"/>
          <w:color w:val="111111"/>
          <w:sz w:val="22"/>
          <w:szCs w:val="22"/>
        </w:rPr>
        <w:t xml:space="preserve">CyberMines has been engineered to generate this moment through the INFERNO gate event, and to maximise its frequency at scale through the multi-gate compounding mechanic. A single INFERNO on a deep 7×7 run produces a 5× step-change in an already large multiplier — a visually dramatic, auditorily distinct, emotionally legible event. A multi-INFERNO run produces an outcome class that has no equivalent in the category. The probability of a 625× gate bonus (four consecutive INFERNO draws) at meaningful volume creates genuine anticipation among streaming audiences — and the actual event, when it occurs, produces streamer and audience reactions that are algorithmically rewarded across Twitch, YouTube, and short-form video.</w:t>
      </w:r>
    </w:p>
    <w:p>
      <w:pPr>
        <w:spacing w:after="180"/>
      </w:pPr>
      <w:r>
        <w:rPr>
          <w:rFonts w:ascii="Arial" w:cs="Arial" w:eastAsia="Arial" w:hAnsi="Arial"/>
          <w:color w:val="111111"/>
          <w:sz w:val="22"/>
          <w:szCs w:val="22"/>
        </w:rPr>
        <w:t xml:space="preserve">The continuous audio tension arc — the pitched hum that rises from 55Hz to ~340Hz across a deep run — amplifies the shareable moment further. Streaming audiences experience the tension viscerally through the audio before the visual outcome confirms it. This multisensory engagement is absent from all competing Mines products.</w:t>
      </w:r>
    </w:p>
    <w:p>
      <w:pPr>
        <w:pStyle w:val="Heading2"/>
        <w:spacing w:after="120" w:before="300"/>
      </w:pPr>
      <w:r>
        <w:rPr>
          <w:rFonts w:ascii="Arial" w:cs="Arial" w:eastAsia="Arial" w:hAnsi="Arial"/>
          <w:b/>
          <w:bCs/>
          <w:color w:val="003366"/>
          <w:sz w:val="26"/>
          <w:szCs w:val="26"/>
        </w:rPr>
        <w:t xml:space="preserve">4.8 Player Segmentation by Psychological Profile</w:t>
      </w:r>
    </w:p>
    <w:p>
      <w:pPr>
        <w:spacing w:after="180"/>
      </w:pPr>
      <w:r>
        <w:rPr>
          <w:rFonts w:ascii="Arial" w:cs="Arial" w:eastAsia="Arial" w:hAnsi="Arial"/>
          <w:color w:val="111111"/>
          <w:sz w:val="22"/>
          <w:szCs w:val="22"/>
        </w:rPr>
        <w:t xml:space="preserve">CyberMines serves four distinct player psychological profiles through its grid and mine count configuration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226"/>
        <w:gridCol w:w="2200"/>
      </w:tblGrid>
      <w:tr>
        <w:trPr>
          <w:tblHeader/>
        </w:trPr>
        <w:tc>
          <w:tcPr>
            <w:tcW w:type="dxa" w:w="18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Profile</w:t>
            </w:r>
          </w:p>
        </w:tc>
        <w:tc>
          <w:tcPr>
            <w:tcW w:type="dxa" w:w="14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Typical config</w:t>
            </w:r>
          </w:p>
        </w:tc>
        <w:tc>
          <w:tcPr>
            <w:tcW w:type="dxa" w:w="14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Session length</w:t>
            </w:r>
          </w:p>
        </w:tc>
        <w:tc>
          <w:tcPr>
            <w:tcW w:type="dxa" w:w="2226"/>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Primary mechanism</w:t>
            </w:r>
          </w:p>
        </w:tc>
        <w:tc>
          <w:tcPr>
            <w:tcW w:type="dxa" w:w="22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Revenue profile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High-intensity sprinter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3×3, M=3–5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2–8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Loss aversion + near-miss. Short violent cycles.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High bet frequency, high GGR/session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Strategic accumulator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5×5, M=3–7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10–30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Endowment effect + flow state. Gate anticipation.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Moderate frequency, consistent GGR</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Endurance runner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7×7, M=1–3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30–90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Multi-gate compounding. Flow + sunk cost.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Lower frequency, very high peak GGR events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Jackpot chaser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7×7, M=1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Variable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INFERNO compounding. Variance maximiser.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Volatile. High streaming/social value.</w:t>
            </w:r>
          </w:p>
        </w:tc>
      </w:tr>
    </w:tbl>
    <w:p>
      <w:pPr>
        <w:spacing w:after="60"/>
      </w:pPr>
      <w:r>
        <w:rPr>
          <w:rFonts w:ascii="Arial" w:cs="Arial" w:eastAsia="Arial" w:hAnsi="Arial"/>
          <w:sz w:val="10"/>
          <w:szCs w:val="10"/>
        </w:rPr>
        <w:t xml:space="preserve"/>
      </w:r>
    </w:p>
    <w:p>
      <w:pPr>
        <w:spacing w:after="180"/>
      </w:pPr>
      <w:r>
        <w:rPr>
          <w:rFonts w:ascii="Arial" w:cs="Arial" w:eastAsia="Arial" w:hAnsi="Arial"/>
          <w:color w:val="111111"/>
          <w:sz w:val="22"/>
          <w:szCs w:val="22"/>
        </w:rPr>
        <w:t xml:space="preserve">No configuration change is required to serve all four profiles simultaneously — the product self-segments through player choice.</w:t>
      </w:r>
    </w:p>
    <w:p>
      <w:pPr>
        <w:pStyle w:val="Heading1"/>
        <w:spacing w:after="160" w:before="480"/>
      </w:pPr>
      <w:r>
        <w:rPr>
          <w:rFonts w:ascii="Arial" w:cs="Arial" w:eastAsia="Arial" w:hAnsi="Arial"/>
          <w:b/>
          <w:bCs/>
          <w:color w:val="CC0088"/>
          <w:sz w:val="32"/>
          <w:szCs w:val="32"/>
        </w:rPr>
        <w:t xml:space="preserve">5. Audio Engineering</w:t>
      </w:r>
    </w:p>
    <w:p>
      <w:pPr>
        <w:pStyle w:val="Heading2"/>
        <w:spacing w:after="120" w:before="300"/>
      </w:pPr>
      <w:r>
        <w:rPr>
          <w:rFonts w:ascii="Arial" w:cs="Arial" w:eastAsia="Arial" w:hAnsi="Arial"/>
          <w:b/>
          <w:bCs/>
          <w:color w:val="003366"/>
          <w:sz w:val="26"/>
          <w:szCs w:val="26"/>
        </w:rPr>
        <w:t xml:space="preserve">5.1 Continuous Tension Arc</w:t>
      </w:r>
    </w:p>
    <w:p>
      <w:pPr>
        <w:spacing w:after="180"/>
      </w:pPr>
      <w:r>
        <w:rPr>
          <w:rFonts w:ascii="Arial" w:cs="Arial" w:eastAsia="Arial" w:hAnsi="Arial"/>
          <w:color w:val="111111"/>
          <w:sz w:val="22"/>
          <w:szCs w:val="22"/>
        </w:rPr>
        <w:t xml:space="preserve">The core audio mechanic is a continuously running sine wave oscillator that begins at first tile click and escalates with every safe pick. Frequency rises approximately 17Hz per pick (from 55Hz), volume rises from 0.012 to a cap of 0.38, and an LFO tremolo effect increases in rate and depth — creating a physical pulse that intensifies with accumulated risk. By pick 10+ the hum is audibly present; by pick 15+ it dominates the soundscape. The oscillator stops instantly on mine detonation or cash-out — the sudden silence is a terminal audio cue distinct from any other game event.</w:t>
      </w:r>
    </w:p>
    <w:p>
      <w:pPr>
        <w:spacing w:after="180"/>
      </w:pPr>
      <w:r>
        <w:rPr>
          <w:rFonts w:ascii="Arial" w:cs="Arial" w:eastAsia="Arial" w:hAnsi="Arial"/>
          <w:color w:val="111111"/>
          <w:sz w:val="22"/>
          <w:szCs w:val="22"/>
        </w:rPr>
        <w:t xml:space="preserve">This rising tension arc has no equivalent in any competing Mines product. It externalises the player's internal risk assessment into an auditory signal that streaming audiences share, reinforcing the social proof mechanic described in Section 4.7.</w:t>
      </w:r>
    </w:p>
    <w:p>
      <w:pPr>
        <w:pStyle w:val="Heading2"/>
        <w:spacing w:after="120" w:before="300"/>
      </w:pPr>
      <w:r>
        <w:rPr>
          <w:rFonts w:ascii="Arial" w:cs="Arial" w:eastAsia="Arial" w:hAnsi="Arial"/>
          <w:b/>
          <w:bCs/>
          <w:color w:val="003366"/>
          <w:sz w:val="26"/>
          <w:szCs w:val="26"/>
        </w:rPr>
        <w:t xml:space="preserve">5.2 Event-Specific Resolution</w:t>
      </w:r>
    </w:p>
    <w:p>
      <w:pPr>
        <w:spacing w:after="180"/>
      </w:pPr>
      <w:r>
        <w:rPr>
          <w:rFonts w:ascii="Arial" w:cs="Arial" w:eastAsia="Arial" w:hAnsi="Arial"/>
          <w:color w:val="111111"/>
          <w:sz w:val="22"/>
          <w:szCs w:val="22"/>
        </w:rPr>
        <w:t xml:space="preserve">Each game event resolves with a distinct audio signature calibrated to its emotional weight:</w:t>
      </w:r>
    </w:p>
    <w:p>
      <w:pPr>
        <w:spacing w:after="100"/>
        <w:ind w:left="440" w:hanging="220"/>
      </w:pPr>
      <w:r>
        <w:rPr>
          <w:rFonts w:ascii="Arial" w:cs="Arial" w:eastAsia="Arial" w:hAnsi="Arial"/>
          <w:color w:val="111111"/>
          <w:sz w:val="22"/>
          <w:szCs w:val="22"/>
        </w:rPr>
        <w:t xml:space="preserve">•  Safe tile: equal-tempered semitone pitch step from A4 (440Hz × 2^((k−1)/12)). Musically tense by click 9 — a major sixth above the start pitch, an unresolved interval priming for the gate.</w:t>
      </w:r>
    </w:p>
    <w:p>
      <w:pPr>
        <w:spacing w:after="100"/>
        <w:ind w:left="440" w:hanging="220"/>
      </w:pPr>
      <w:r>
        <w:rPr>
          <w:rFonts w:ascii="Arial" w:cs="Arial" w:eastAsia="Arial" w:hAnsi="Arial"/>
          <w:color w:val="111111"/>
          <w:sz w:val="22"/>
          <w:szCs w:val="22"/>
        </w:rPr>
        <w:t xml:space="preserve">•  Mine detonation: white noise burst filtered through a bandpass at 180Hz (percussive impact character) plus a 48Hz sub-thump. Physically felt on mobile devices. Clean, sharp, not buzzy.</w:t>
      </w:r>
    </w:p>
    <w:p>
      <w:pPr>
        <w:spacing w:after="100"/>
        <w:ind w:left="440" w:hanging="220"/>
      </w:pPr>
      <w:r>
        <w:rPr>
          <w:rFonts w:ascii="Arial" w:cs="Arial" w:eastAsia="Arial" w:hAnsi="Arial"/>
          <w:color w:val="111111"/>
          <w:sz w:val="22"/>
          <w:szCs w:val="22"/>
        </w:rPr>
        <w:t xml:space="preserve">•  Gate PASS: flat neutral tone. Non-event signal.</w:t>
      </w:r>
    </w:p>
    <w:p>
      <w:pPr>
        <w:spacing w:after="100"/>
        <w:ind w:left="440" w:hanging="220"/>
      </w:pPr>
      <w:r>
        <w:rPr>
          <w:rFonts w:ascii="Arial" w:cs="Arial" w:eastAsia="Arial" w:hAnsi="Arial"/>
          <w:color w:val="111111"/>
          <w:sz w:val="22"/>
          <w:szCs w:val="22"/>
        </w:rPr>
        <w:t xml:space="preserve">•  Gate BOOST: ascending major triad (A4, C#5, E5). Positive resolution.</w:t>
      </w:r>
    </w:p>
    <w:p>
      <w:pPr>
        <w:spacing w:after="100"/>
        <w:ind w:left="440" w:hanging="220"/>
      </w:pPr>
      <w:r>
        <w:rPr>
          <w:rFonts w:ascii="Arial" w:cs="Arial" w:eastAsia="Arial" w:hAnsi="Arial"/>
          <w:color w:val="111111"/>
          <w:sz w:val="22"/>
          <w:szCs w:val="22"/>
        </w:rPr>
        <w:t xml:space="preserve">•  Gate SPARK: four-note ascending arpeggio with reverb. Clear step-up signal.</w:t>
      </w:r>
    </w:p>
    <w:p>
      <w:pPr>
        <w:spacing w:after="100"/>
        <w:ind w:left="440" w:hanging="220"/>
      </w:pPr>
      <w:r>
        <w:rPr>
          <w:rFonts w:ascii="Arial" w:cs="Arial" w:eastAsia="Arial" w:hAnsi="Arial"/>
          <w:color w:val="111111"/>
          <w:sz w:val="22"/>
          <w:szCs w:val="22"/>
        </w:rPr>
        <w:t xml:space="preserve">•  Gate INFERNO: five-note major sixth chord ascending with extended reverb tail — the maximum harmonic tension-to-resolution transition available in Western equal temperament. Unmistakable.</w:t>
      </w:r>
    </w:p>
    <w:p>
      <w:pPr>
        <w:spacing w:after="100"/>
        <w:ind w:left="440" w:hanging="220"/>
      </w:pPr>
      <w:r>
        <w:rPr>
          <w:rFonts w:ascii="Arial" w:cs="Arial" w:eastAsia="Arial" w:hAnsi="Arial"/>
          <w:color w:val="111111"/>
          <w:sz w:val="22"/>
          <w:szCs w:val="22"/>
        </w:rPr>
        <w:t xml:space="preserve">•  Cash-out: four-note ascending fanfare [440, 554, 659, 880Hz]. Positive reinforcement of the cash-out decision.</w:t>
      </w:r>
    </w:p>
    <w:p>
      <w:pPr>
        <w:pStyle w:val="Heading1"/>
        <w:spacing w:after="160" w:before="480"/>
      </w:pPr>
      <w:r>
        <w:rPr>
          <w:rFonts w:ascii="Arial" w:cs="Arial" w:eastAsia="Arial" w:hAnsi="Arial"/>
          <w:b/>
          <w:bCs/>
          <w:color w:val="CC0088"/>
          <w:sz w:val="32"/>
          <w:szCs w:val="32"/>
        </w:rPr>
        <w:t xml:space="preserve">6. Provably Fair System</w:t>
      </w:r>
    </w:p>
    <w:p>
      <w:pPr>
        <w:pStyle w:val="Heading2"/>
        <w:spacing w:after="120" w:before="300"/>
      </w:pPr>
      <w:r>
        <w:rPr>
          <w:rFonts w:ascii="Arial" w:cs="Arial" w:eastAsia="Arial" w:hAnsi="Arial"/>
          <w:b/>
          <w:bCs/>
          <w:color w:val="003366"/>
          <w:sz w:val="26"/>
          <w:szCs w:val="26"/>
        </w:rPr>
        <w:t xml:space="preserve">6.1 Architecture</w:t>
      </w:r>
    </w:p>
    <w:p>
      <w:pPr>
        <w:spacing w:after="180"/>
      </w:pPr>
      <w:r>
        <w:rPr>
          <w:rFonts w:ascii="Arial" w:cs="Arial" w:eastAsia="Arial" w:hAnsi="Arial"/>
          <w:color w:val="111111"/>
          <w:sz w:val="22"/>
          <w:szCs w:val="22"/>
        </w:rPr>
        <w:t xml:space="preserve">CyberMines implements a full SHA-256 commit-reveal provably fair scheme. Three components:</w:t>
      </w:r>
    </w:p>
    <w:p>
      <w:pPr>
        <w:spacing w:after="100"/>
        <w:ind w:left="440" w:hanging="220"/>
      </w:pPr>
      <w:r>
        <w:rPr>
          <w:rFonts w:ascii="Arial" w:cs="Arial" w:eastAsia="Arial" w:hAnsi="Arial"/>
          <w:color w:val="111111"/>
          <w:sz w:val="22"/>
          <w:szCs w:val="22"/>
        </w:rPr>
        <w:t xml:space="preserve">•  serverSeed: 32-byte cryptographically random value (crypto.getRandomValues). Generated fresh each round. Committed via SHA-256(serverSeed), which is published to the player before the round begins. The seed itself is revealed only after the round ends.</w:t>
      </w:r>
    </w:p>
    <w:p>
      <w:pPr>
        <w:spacing w:after="100"/>
        <w:ind w:left="440" w:hanging="220"/>
      </w:pPr>
      <w:r>
        <w:rPr>
          <w:rFonts w:ascii="Arial" w:cs="Arial" w:eastAsia="Arial" w:hAnsi="Arial"/>
          <w:color w:val="111111"/>
          <w:sz w:val="22"/>
          <w:szCs w:val="22"/>
        </w:rPr>
        <w:t xml:space="preserve">•  clientSeed: Player-supplied or auto-generated string. Fully editable at any time between rounds. The player's seed contribution ensures the operator cannot target a specific player with a specific outcome — the mine placement depends on both seeds, and the player controls one of them.</w:t>
      </w:r>
    </w:p>
    <w:p>
      <w:pPr>
        <w:spacing w:after="100"/>
        <w:ind w:left="440" w:hanging="220"/>
      </w:pPr>
      <w:r>
        <w:rPr>
          <w:rFonts w:ascii="Arial" w:cs="Arial" w:eastAsia="Arial" w:hAnsi="Arial"/>
          <w:color w:val="111111"/>
          <w:sz w:val="22"/>
          <w:szCs w:val="22"/>
        </w:rPr>
        <w:t xml:space="preserve">•  nonce: Monotonic round counter. Ensures every seed triplet is globally unique across a session, even with identical server and client seeds.</w:t>
      </w:r>
    </w:p>
    <w:p>
      <w:pPr>
        <w:pStyle w:val="Heading2"/>
        <w:spacing w:after="120" w:before="300"/>
      </w:pPr>
      <w:r>
        <w:rPr>
          <w:rFonts w:ascii="Arial" w:cs="Arial" w:eastAsia="Arial" w:hAnsi="Arial"/>
          <w:b/>
          <w:bCs/>
          <w:color w:val="003366"/>
          <w:sz w:val="26"/>
          <w:szCs w:val="26"/>
        </w:rPr>
        <w:t xml:space="preserve">6.2 Algorithm</w:t>
      </w:r>
    </w:p>
    <w:p>
      <w:pPr>
        <w:spacing w:after="120"/>
        <w:ind w:left="500"/>
      </w:pPr>
      <w:r>
        <w:rPr>
          <w:rFonts w:ascii="Courier New" w:cs="Courier New" w:eastAsia="Courier New" w:hAnsi="Courier New"/>
          <w:b/>
          <w:bCs/>
          <w:color w:val="003366"/>
          <w:sz w:val="20"/>
          <w:szCs w:val="20"/>
        </w:rPr>
        <w:t xml:space="preserve">hash = SHA-256(serverSeed + ":" + clientSeed + ":" + nonce)</w:t>
      </w:r>
    </w:p>
    <w:p>
      <w:pPr>
        <w:spacing w:after="180"/>
      </w:pPr>
      <w:r>
        <w:rPr>
          <w:rFonts w:ascii="Arial" w:cs="Arial" w:eastAsia="Arial" w:hAnsi="Arial"/>
          <w:color w:val="111111"/>
          <w:sz w:val="22"/>
          <w:szCs w:val="22"/>
        </w:rPr>
        <w:t xml:space="preserve">Implemented via the browser's SubtleCrypto API. Mine positions are derived from the hash via a Fisher-Yates shuffle using 4 bytes per swap index (minimising modular bias). If the hash is exhausted it is rehashed for continuation. Gate outcomes use subsequent hash bytes.</w:t>
      </w:r>
    </w:p>
    <w:p>
      <w:pPr>
        <w:pStyle w:val="Heading2"/>
        <w:spacing w:after="120" w:before="300"/>
      </w:pPr>
      <w:r>
        <w:rPr>
          <w:rFonts w:ascii="Arial" w:cs="Arial" w:eastAsia="Arial" w:hAnsi="Arial"/>
          <w:b/>
          <w:bCs/>
          <w:color w:val="003366"/>
          <w:sz w:val="26"/>
          <w:szCs w:val="26"/>
        </w:rPr>
        <w:t xml:space="preserve">6.3 Commit-Reveal Flow</w:t>
      </w:r>
    </w:p>
    <w:p>
      <w:pPr>
        <w:spacing w:after="180"/>
      </w:pPr>
      <w:r>
        <w:rPr>
          <w:rFonts w:ascii="Arial" w:cs="Arial" w:eastAsia="Arial" w:hAnsi="Arial"/>
          <w:color w:val="111111"/>
          <w:sz w:val="22"/>
          <w:szCs w:val="22"/>
        </w:rPr>
        <w:t xml:space="preserve">Before each round the SHA-256 commitment hash is displayed in the UI. After each round the previous server seed is revealed ("LAST SEED" field). The player can open the in-product verifier at any time and paste the seed triplet to independently reconstruct the exact mine layout and verify it matches the round played. This is end-to-end auditable with no trusted third party required.</w:t>
      </w:r>
    </w:p>
    <w:p>
      <w:pPr>
        <w:pStyle w:val="Heading2"/>
        <w:spacing w:after="120" w:before="300"/>
      </w:pPr>
      <w:r>
        <w:rPr>
          <w:rFonts w:ascii="Arial" w:cs="Arial" w:eastAsia="Arial" w:hAnsi="Arial"/>
          <w:b/>
          <w:bCs/>
          <w:color w:val="003366"/>
          <w:sz w:val="26"/>
          <w:szCs w:val="26"/>
        </w:rPr>
        <w:t xml:space="preserve">6.4 In-Product Verifier</w:t>
      </w:r>
    </w:p>
    <w:p>
      <w:pPr>
        <w:spacing w:after="180"/>
      </w:pPr>
      <w:r>
        <w:rPr>
          <w:rFonts w:ascii="Arial" w:cs="Arial" w:eastAsia="Arial" w:hAnsi="Arial"/>
          <w:color w:val="111111"/>
          <w:sz w:val="22"/>
          <w:szCs w:val="22"/>
        </w:rPr>
        <w:t xml:space="preserve">The verifier is the most complete player-facing provably fair tool observed across any competing Mines product at time of writing. It accepts server seed, client seed, nonce, grid size, and mine count — computes SHA-256, confirms the hash matches the pre-round commitment, derives all mine positions, and renders a visual grid layout showing exact mine and safe tile positions for independent cross-reference.</w:t>
      </w:r>
    </w:p>
    <w:p>
      <w:pPr>
        <w:pStyle w:val="Heading1"/>
        <w:spacing w:after="160" w:before="480"/>
      </w:pPr>
      <w:r>
        <w:rPr>
          <w:rFonts w:ascii="Arial" w:cs="Arial" w:eastAsia="Arial" w:hAnsi="Arial"/>
          <w:b/>
          <w:bCs/>
          <w:color w:val="CC0088"/>
          <w:sz w:val="32"/>
          <w:szCs w:val="32"/>
        </w:rPr>
        <w:t xml:space="preserve">7. Technical Implementation</w:t>
      </w:r>
    </w:p>
    <w:p>
      <w:pPr>
        <w:pStyle w:val="Heading2"/>
        <w:spacing w:after="120" w:before="300"/>
      </w:pPr>
      <w:r>
        <w:rPr>
          <w:rFonts w:ascii="Arial" w:cs="Arial" w:eastAsia="Arial" w:hAnsi="Arial"/>
          <w:b/>
          <w:bCs/>
          <w:color w:val="003366"/>
          <w:sz w:val="26"/>
          <w:szCs w:val="26"/>
        </w:rPr>
        <w:t xml:space="preserve">7.1 Architecture</w:t>
      </w:r>
    </w:p>
    <w:p>
      <w:pPr>
        <w:spacing w:after="180"/>
      </w:pPr>
      <w:r>
        <w:rPr>
          <w:rFonts w:ascii="Arial" w:cs="Arial" w:eastAsia="Arial" w:hAnsi="Arial"/>
          <w:color w:val="111111"/>
          <w:sz w:val="22"/>
          <w:szCs w:val="22"/>
        </w:rPr>
        <w:t xml:space="preserve">CyberMines v0.1 is a single HTML file with inline CSS and JavaScript. Zero external dependencies beyond the browser-native Web Audio API and SubtleCrypto. Approximately 38KB at current implementation size. No build pipeline, no asset hosting, no CDN, no server-side components required for the game itself (provably fair seed commitment requires server-side storage in a production integration).</w:t>
      </w:r>
    </w:p>
    <w:p>
      <w:pPr>
        <w:pStyle w:val="Heading2"/>
        <w:spacing w:after="120" w:before="300"/>
      </w:pPr>
      <w:r>
        <w:rPr>
          <w:rFonts w:ascii="Arial" w:cs="Arial" w:eastAsia="Arial" w:hAnsi="Arial"/>
          <w:b/>
          <w:bCs/>
          <w:color w:val="003366"/>
          <w:sz w:val="26"/>
          <w:szCs w:val="26"/>
        </w:rPr>
        <w:t xml:space="preserve">7.2 Deployment Surfaces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Surface</w:t>
            </w:r>
          </w:p>
        </w:tc>
        <w:tc>
          <w:tcPr>
            <w:tcW w:type="dxa" w:w="1800"/>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Integration effort</w:t>
            </w:r>
          </w:p>
        </w:tc>
        <w:tc>
          <w:tcPr>
            <w:tcW w:type="dxa" w:w="5026"/>
            <w:tcBorders>
              <w:top w:val="single" w:color="CCCCCC" w:sz="1"/>
              <w:left w:val="single" w:color="CCCCCC" w:sz="1"/>
              <w:bottom w:val="single" w:color="CCCCCC" w:sz="1"/>
              <w:right w:val="single" w:color="CCCCCC" w:sz="1"/>
            </w:tcBorders>
            <w:shd w:fill="E0E0F0" w:val="clear"/>
            <w:tcMar>
              <w:top w:type="dxa" w:w="80"/>
              <w:left w:type="dxa" w:w="120"/>
              <w:bottom w:type="dxa" w:w="80"/>
              <w:right w:type="dxa" w:w="120"/>
            </w:tcMar>
          </w:tcPr>
          <w:p>
            <w:r>
              <w:rPr>
                <w:rFonts w:ascii="Arial" w:cs="Arial" w:eastAsia="Arial" w:hAnsi="Arial"/>
                <w:b/>
                <w:bCs/>
                <w:color w:val="111111"/>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iframe in casino lobby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&lt; 1 engineering 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Primary deployment. Wallet integration via postMessage API. No structural changes to HTML file required.</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Telegram WebApp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&lt; 1 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Telegram WebApp API provides wallet and user context. Single-file architecture is natively compatible.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OBS browser source (streamer overlay)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&lt; 1 hour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Drop-in. Read-only display mode useful for streaming overlays without real-money play.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White-label aggregator SDK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2–5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Wrapper required to normalise wallet and session calls to aggregator protocol. Architecture supports this.</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Progressive Web App (PWA)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1–2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20"/>
                <w:szCs w:val="20"/>
              </w:rPr>
              <w:t xml:space="preserve">Service worker + manifest addition. Enables homescreen install and offline play (offline mode uses placeholder balance).</w:t>
            </w:r>
          </w:p>
        </w:tc>
      </w:tr>
    </w:tbl>
    <w:p>
      <w:pPr>
        <w:spacing w:after="60"/>
      </w:pPr>
      <w:r>
        <w:rPr>
          <w:rFonts w:ascii="Arial" w:cs="Arial" w:eastAsia="Arial" w:hAnsi="Arial"/>
          <w:sz w:val="10"/>
          <w:szCs w:val="10"/>
        </w:rPr>
        <w:t xml:space="preserve"/>
      </w:r>
    </w:p>
    <w:p>
      <w:pPr>
        <w:pStyle w:val="Heading2"/>
        <w:spacing w:after="120" w:before="300"/>
      </w:pPr>
      <w:r>
        <w:rPr>
          <w:rFonts w:ascii="Arial" w:cs="Arial" w:eastAsia="Arial" w:hAnsi="Arial"/>
          <w:b/>
          <w:bCs/>
          <w:color w:val="003366"/>
          <w:sz w:val="26"/>
          <w:szCs w:val="26"/>
        </w:rPr>
        <w:t xml:space="preserve">7.3 Production Integration Requirements</w:t>
      </w:r>
    </w:p>
    <w:p>
      <w:pPr>
        <w:spacing w:after="180"/>
      </w:pPr>
      <w:r>
        <w:rPr>
          <w:rFonts w:ascii="Arial" w:cs="Arial" w:eastAsia="Arial" w:hAnsi="Arial"/>
          <w:color w:val="111111"/>
          <w:sz w:val="22"/>
          <w:szCs w:val="22"/>
        </w:rPr>
        <w:t xml:space="preserve">Moving from prototype to production integration requires four additions that are outside the scope of the current single-file prototype:</w:t>
      </w:r>
    </w:p>
    <w:p>
      <w:pPr>
        <w:spacing w:after="100"/>
        <w:ind w:left="440" w:hanging="220"/>
      </w:pPr>
      <w:r>
        <w:rPr>
          <w:rFonts w:ascii="Arial" w:cs="Arial" w:eastAsia="Arial" w:hAnsi="Arial"/>
          <w:color w:val="111111"/>
          <w:sz w:val="22"/>
          <w:szCs w:val="22"/>
        </w:rPr>
        <w:t xml:space="preserve">•  Wallet API integration — bet deduction and win crediting must connect to the operator's real-money wallet system.</w:t>
      </w:r>
    </w:p>
    <w:p>
      <w:pPr>
        <w:spacing w:after="100"/>
        <w:ind w:left="440" w:hanging="220"/>
      </w:pPr>
      <w:r>
        <w:rPr>
          <w:rFonts w:ascii="Arial" w:cs="Arial" w:eastAsia="Arial" w:hAnsi="Arial"/>
          <w:color w:val="111111"/>
          <w:sz w:val="22"/>
          <w:szCs w:val="22"/>
        </w:rPr>
        <w:t xml:space="preserve">•  Server-side seed commitment — the serverSeed must be generated and stored server-side before the round begins, with the SHA-256 commitment sent to the client. This prevents a malicious operator from generating a serverSeed after observing player behaviour.</w:t>
      </w:r>
    </w:p>
    <w:p>
      <w:pPr>
        <w:spacing w:after="100"/>
        <w:ind w:left="440" w:hanging="220"/>
      </w:pPr>
      <w:r>
        <w:rPr>
          <w:rFonts w:ascii="Arial" w:cs="Arial" w:eastAsia="Arial" w:hAnsi="Arial"/>
          <w:color w:val="111111"/>
          <w:sz w:val="22"/>
          <w:szCs w:val="22"/>
        </w:rPr>
        <w:t xml:space="preserve">•  Audit logging — all seed triplets, round outcomes, and bet/win amounts must be logged for regulatory compliance.</w:t>
      </w:r>
    </w:p>
    <w:p>
      <w:pPr>
        <w:spacing w:after="100"/>
        <w:ind w:left="440" w:hanging="220"/>
      </w:pPr>
      <w:r>
        <w:rPr>
          <w:rFonts w:ascii="Arial" w:cs="Arial" w:eastAsia="Arial" w:hAnsi="Arial"/>
          <w:color w:val="111111"/>
          <w:sz w:val="22"/>
          <w:szCs w:val="22"/>
        </w:rPr>
        <w:t xml:space="preserve">•  RNG certification — most jurisdictions require third-party RNG certification (e.g. BMM, GLI, eCOGRA). The SHA-256 commit-reveal scheme is certifiable; the specific certification path depends on target jurisdiction.</w:t>
      </w:r>
    </w:p>
    <w:p>
      <w:pPr>
        <w:pStyle w:val="Heading1"/>
        <w:spacing w:after="160" w:before="480"/>
      </w:pPr>
      <w:r>
        <w:rPr>
          <w:rFonts w:ascii="Arial" w:cs="Arial" w:eastAsia="Arial" w:hAnsi="Arial"/>
          <w:b/>
          <w:bCs/>
          <w:color w:val="CC0088"/>
          <w:sz w:val="32"/>
          <w:szCs w:val="32"/>
        </w:rPr>
        <w:t xml:space="preserve">8. Responsible Gambling</w:t>
      </w:r>
    </w:p>
    <w:p>
      <w:pPr>
        <w:spacing w:after="180"/>
      </w:pPr>
      <w:r>
        <w:rPr>
          <w:rFonts w:ascii="Arial" w:cs="Arial" w:eastAsia="Arial" w:hAnsi="Arial"/>
          <w:color w:val="111111"/>
          <w:sz w:val="22"/>
          <w:szCs w:val="22"/>
        </w:rPr>
        <w:t xml:space="preserve">CyberMines is a high-volatility product that deliberately activates multiple psychological engagement mechanisms. Responsible gambling features are not optional additions — they are production requirements and are architecturally planned into the roadmap:</w:t>
      </w:r>
    </w:p>
    <w:p>
      <w:pPr>
        <w:spacing w:after="100"/>
        <w:ind w:left="440" w:hanging="220"/>
      </w:pPr>
      <w:r>
        <w:rPr>
          <w:rFonts w:ascii="Arial" w:cs="Arial" w:eastAsia="Arial" w:hAnsi="Arial"/>
          <w:color w:val="111111"/>
          <w:sz w:val="22"/>
          <w:szCs w:val="22"/>
        </w:rPr>
        <w:t xml:space="preserve">•  Session time display and configurable time limits.</w:t>
      </w:r>
    </w:p>
    <w:p>
      <w:pPr>
        <w:spacing w:after="100"/>
        <w:ind w:left="440" w:hanging="220"/>
      </w:pPr>
      <w:r>
        <w:rPr>
          <w:rFonts w:ascii="Arial" w:cs="Arial" w:eastAsia="Arial" w:hAnsi="Arial"/>
          <w:color w:val="111111"/>
          <w:sz w:val="22"/>
          <w:szCs w:val="22"/>
        </w:rPr>
        <w:t xml:space="preserve">•  Net session P&amp;L display (current session profit/loss, not just balance).</w:t>
      </w:r>
    </w:p>
    <w:p>
      <w:pPr>
        <w:spacing w:after="100"/>
        <w:ind w:left="440" w:hanging="220"/>
      </w:pPr>
      <w:r>
        <w:rPr>
          <w:rFonts w:ascii="Arial" w:cs="Arial" w:eastAsia="Arial" w:hAnsi="Arial"/>
          <w:color w:val="111111"/>
          <w:sz w:val="22"/>
          <w:szCs w:val="22"/>
        </w:rPr>
        <w:t xml:space="preserve">•  Loss limit enforcement (operator-set and player-set).</w:t>
      </w:r>
    </w:p>
    <w:p>
      <w:pPr>
        <w:spacing w:after="100"/>
        <w:ind w:left="440" w:hanging="220"/>
      </w:pPr>
      <w:r>
        <w:rPr>
          <w:rFonts w:ascii="Arial" w:cs="Arial" w:eastAsia="Arial" w:hAnsi="Arial"/>
          <w:color w:val="111111"/>
          <w:sz w:val="22"/>
          <w:szCs w:val="22"/>
        </w:rPr>
        <w:t xml:space="preserve">•  Reality check overlays at configurable session-length thresholds.</w:t>
      </w:r>
    </w:p>
    <w:p>
      <w:pPr>
        <w:spacing w:after="100"/>
        <w:ind w:left="440" w:hanging="220"/>
      </w:pPr>
      <w:r>
        <w:rPr>
          <w:rFonts w:ascii="Arial" w:cs="Arial" w:eastAsia="Arial" w:hAnsi="Arial"/>
          <w:color w:val="111111"/>
          <w:sz w:val="22"/>
          <w:szCs w:val="22"/>
        </w:rPr>
        <w:t xml:space="preserve">•  Self-exclusion path surfaced in the primary UI, not buried in settings.</w:t>
      </w:r>
    </w:p>
    <w:p>
      <w:pPr>
        <w:spacing w:after="100"/>
        <w:ind w:left="440" w:hanging="220"/>
      </w:pPr>
      <w:r>
        <w:rPr>
          <w:rFonts w:ascii="Arial" w:cs="Arial" w:eastAsia="Arial" w:hAnsi="Arial"/>
          <w:color w:val="111111"/>
          <w:sz w:val="22"/>
          <w:szCs w:val="22"/>
        </w:rPr>
        <w:t xml:space="preserve">•  Gate-disable mode for jurisdictions requiring it (gate mechanic suppressed; base game continues normally).</w:t>
      </w:r>
    </w:p>
    <w:p>
      <w:pPr>
        <w:spacing w:after="180"/>
      </w:pPr>
      <w:r>
        <w:rPr>
          <w:rFonts w:ascii="Arial" w:cs="Arial" w:eastAsia="Arial" w:hAnsi="Arial"/>
          <w:color w:val="111111"/>
          <w:sz w:val="22"/>
          <w:szCs w:val="22"/>
        </w:rPr>
        <w:t xml:space="preserve">The behavioural psychology documentation in Section 4 is provided in the spirit of full transparency. The mechanisms described are real and deliberately engineered. Responsible gambling mitigations must be designed with equivalent intentionality. An operator integrating CyberMines without appropriate responsible gambling tooling is integrating it incorrectly.</w:t>
      </w:r>
    </w:p>
    <w:p>
      <w:pPr>
        <w:pStyle w:val="Heading1"/>
        <w:spacing w:after="160" w:before="480"/>
      </w:pPr>
      <w:r>
        <w:rPr>
          <w:rFonts w:ascii="Arial" w:cs="Arial" w:eastAsia="Arial" w:hAnsi="Arial"/>
          <w:b/>
          <w:bCs/>
          <w:color w:val="CC0088"/>
          <w:sz w:val="32"/>
          <w:szCs w:val="32"/>
        </w:rPr>
        <w:t xml:space="preserve">9. Commercial Terms &amp; Contact</w:t>
      </w:r>
    </w:p>
    <w:p>
      <w:pPr>
        <w:pStyle w:val="Heading2"/>
        <w:spacing w:after="120" w:before="300"/>
      </w:pPr>
      <w:r>
        <w:rPr>
          <w:rFonts w:ascii="Arial" w:cs="Arial" w:eastAsia="Arial" w:hAnsi="Arial"/>
          <w:b/>
          <w:bCs/>
          <w:color w:val="003366"/>
          <w:sz w:val="26"/>
          <w:szCs w:val="26"/>
        </w:rPr>
        <w:t xml:space="preserve">9.1 Engagement Structures</w:t>
      </w:r>
    </w:p>
    <w:p>
      <w:pPr>
        <w:pStyle w:val="ListParagraph"/>
        <w:numPr>
          <w:ilvl w:val="0"/>
          <w:numId w:val="2"/>
        </w:numPr>
        <w:spacing w:after="100"/>
      </w:pPr>
      <w:r>
        <w:rPr>
          <w:rFonts w:ascii="Arial" w:cs="Arial" w:eastAsia="Arial" w:hAnsi="Arial"/>
          <w:sz w:val="22"/>
          <w:szCs w:val="22"/>
        </w:rPr>
        <w:t xml:space="preserve">White-label license with GGR revenue share — operator deploys under their brand, CyberMines retains IP. Revenue share rate negotiable by projected volume tier.</w:t>
      </w:r>
    </w:p>
    <w:p>
      <w:pPr>
        <w:pStyle w:val="ListParagraph"/>
        <w:numPr>
          <w:ilvl w:val="0"/>
          <w:numId w:val="2"/>
        </w:numPr>
        <w:spacing w:after="100"/>
      </w:pPr>
      <w:r>
        <w:rPr>
          <w:rFonts w:ascii="Arial" w:cs="Arial" w:eastAsia="Arial" w:hAnsi="Arial"/>
          <w:sz w:val="22"/>
          <w:szCs w:val="22"/>
        </w:rPr>
        <w:t xml:space="preserve">Full IP acquisition and assignment — outright purchase of all intellectual property including mathematical model, gate system design, audio architecture, and codebase. Price on application.</w:t>
      </w:r>
    </w:p>
    <w:p>
      <w:pPr>
        <w:pStyle w:val="ListParagraph"/>
        <w:numPr>
          <w:ilvl w:val="0"/>
          <w:numId w:val="2"/>
        </w:numPr>
        <w:spacing w:after="100"/>
      </w:pPr>
      <w:r>
        <w:rPr>
          <w:rFonts w:ascii="Arial" w:cs="Arial" w:eastAsia="Arial" w:hAnsi="Arial"/>
          <w:sz w:val="22"/>
          <w:szCs w:val="22"/>
        </w:rPr>
        <w:t xml:space="preserve">Bespoke integration retainer — fixed-fee engagement for production integration, wallet API connection, server-side seed commitment infrastructure, and RNG certification support.</w:t>
      </w:r>
    </w:p>
    <w:p>
      <w:pPr>
        <w:pStyle w:val="ListParagraph"/>
        <w:numPr>
          <w:ilvl w:val="0"/>
          <w:numId w:val="2"/>
        </w:numPr>
        <w:spacing w:after="200"/>
      </w:pPr>
      <w:r>
        <w:rPr>
          <w:rFonts w:ascii="Arial" w:cs="Arial" w:eastAsia="Arial" w:hAnsi="Arial"/>
          <w:sz w:val="22"/>
          <w:szCs w:val="22"/>
        </w:rPr>
        <w:t xml:space="preserve">Co-development partnership — joint development of v0.2+ roadmap features (additional grid sizes, tournament modes, progressive jackpot overlay, multi-player spectator mode) with shared IP and revenue participation.</w:t>
      </w:r>
    </w:p>
    <w:p>
      <w:pPr>
        <w:pStyle w:val="Heading2"/>
        <w:spacing w:after="120" w:before="300"/>
      </w:pPr>
      <w:r>
        <w:rPr>
          <w:rFonts w:ascii="Arial" w:cs="Arial" w:eastAsia="Arial" w:hAnsi="Arial"/>
          <w:b/>
          <w:bCs/>
          <w:color w:val="003366"/>
          <w:sz w:val="26"/>
          <w:szCs w:val="26"/>
        </w:rPr>
        <w:t xml:space="preserve">9.2 Roadmap</w:t>
      </w:r>
    </w:p>
    <w:p>
      <w:pPr>
        <w:spacing w:after="180"/>
      </w:pPr>
      <w:r>
        <w:rPr>
          <w:rFonts w:ascii="Arial" w:cs="Arial" w:eastAsia="Arial" w:hAnsi="Arial"/>
          <w:color w:val="111111"/>
          <w:sz w:val="22"/>
          <w:szCs w:val="22"/>
        </w:rPr>
        <w:t xml:space="preserve">Near-term (v0.2): mine density indicator on slider, session statistics panel, configurable RTP for operator calibration, PWA packaging. Medium-term (v0.3): tournament mode with leaderboard, streamer-specific overlay mode, 8×8 grid (64 tiles). Speculative (v1.0): progressive jackpot overlay triggered by multi-INFERNO events, multi-player spectator view with live multiplier feed, operator analytics dashboard.</w:t>
      </w:r>
    </w:p>
    <w:p>
      <w:pPr>
        <w:pStyle w:val="Heading2"/>
        <w:spacing w:after="120" w:before="300"/>
      </w:pPr>
      <w:r>
        <w:rPr>
          <w:rFonts w:ascii="Arial" w:cs="Arial" w:eastAsia="Arial" w:hAnsi="Arial"/>
          <w:b/>
          <w:bCs/>
          <w:color w:val="003366"/>
          <w:sz w:val="26"/>
          <w:szCs w:val="26"/>
        </w:rPr>
        <w:t xml:space="preserve">9.3 Contact</w:t>
      </w:r>
    </w:p>
    <w:p>
      <w:pPr>
        <w:pBdr>
          <w:left w:val="single" w:color="CC0088" w:sz="14"/>
        </w:pBdr>
        <w:spacing w:after="80"/>
        <w:ind w:left="320"/>
      </w:pPr>
      <w:r>
        <w:rPr>
          <w:rFonts w:ascii="Arial" w:cs="Arial" w:eastAsia="Arial" w:hAnsi="Arial"/>
          <w:b/>
          <w:bCs/>
          <w:color w:val="111111"/>
          <w:sz w:val="26"/>
          <w:szCs w:val="26"/>
        </w:rPr>
        <w:t xml:space="preserve">James Deeks</w:t>
      </w:r>
      <w:r>
        <w:rPr>
          <w:rFonts w:ascii="Arial" w:cs="Arial" w:eastAsia="Arial" w:hAnsi="Arial"/>
          <w:color w:val="444444"/>
          <w:sz w:val="22"/>
          <w:szCs w:val="22"/>
        </w:rPr>
        <w:br/>
        <w:t xml:space="preserve">
Brighton, United Kingdom</w:t>
      </w:r>
      <w:r>
        <w:rPr>
          <w:rFonts w:ascii="Arial" w:cs="Arial" w:eastAsia="Arial" w:hAnsi="Arial"/>
          <w:color w:val="003366"/>
          <w:sz w:val="22"/>
          <w:szCs w:val="22"/>
        </w:rPr>
        <w:br/>
        <w:t xml:space="preserve">
jddeeks@gmail.com</w:t>
      </w:r>
      <w:r>
        <w:rPr>
          <w:rFonts w:ascii="Arial" w:cs="Arial" w:eastAsia="Arial" w:hAnsi="Arial"/>
          <w:color w:val="003366"/>
          <w:sz w:val="22"/>
          <w:szCs w:val="22"/>
        </w:rPr>
        <w:br/>
        <w:t xml:space="preserve">
github.com/skeed808</w:t>
      </w:r>
    </w:p>
    <w:p>
      <w:pPr>
        <w:spacing w:after="60"/>
      </w:pPr>
      <w:r>
        <w:rPr>
          <w:rFonts w:ascii="Arial" w:cs="Arial" w:eastAsia="Arial" w:hAnsi="Arial"/>
          <w:sz w:val="10"/>
          <w:szCs w:val="10"/>
        </w:rPr>
        <w:t xml:space="preserve"/>
      </w:r>
    </w:p>
    <w:p>
      <w:pPr>
        <w:pBdr>
          <w:left w:val="single" w:color="888888" w:sz="14"/>
        </w:pBdr>
        <w:spacing w:after="220"/>
        <w:ind w:left="320"/>
      </w:pPr>
      <w:r>
        <w:rPr>
          <w:rFonts w:ascii="Arial" w:cs="Arial" w:eastAsia="Arial" w:hAnsi="Arial"/>
          <w:color w:val="444444"/>
          <w:sz w:val="22"/>
          <w:szCs w:val="22"/>
        </w:rPr>
        <w:t xml:space="preserve">Responses to this document will be treated as expressions of interest only. No binding obligations arise from initial contact. All substantive discussions will be conducted under a signed NDA.</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80"/>
      <w:jc w:val="right"/>
    </w:pPr>
    <w:r>
      <w:rPr>
        <w:rFonts w:ascii="Arial" w:cs="Arial" w:eastAsia="Arial" w:hAnsi="Arial"/>
        <w:color w:val="888888"/>
        <w:sz w:val="16"/>
        <w:szCs w:val="16"/>
      </w:rPr>
      <w:t xml:space="preserve">James Deeks  ·  Brighton UK  ·  jddeeks@gmail.com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88" w:sz="4"/>
      </w:pBdr>
      <w:spacing w:after="80"/>
    </w:pPr>
    <w:r>
      <w:rPr>
        <w:rFonts w:ascii="Arial" w:cs="Arial" w:eastAsia="Arial" w:hAnsi="Arial"/>
        <w:color w:val="888888"/>
        <w:sz w:val="16"/>
        <w:szCs w:val="16"/>
      </w:rPr>
      <w:t xml:space="preserve">CYBERMINES v0.1  ·  PRODUCT &amp; INVESTMENT WHITEPAPER  v0.5</w:t>
    </w:r>
    <w:r>
      <w:rPr>
        <w:rFonts w:ascii="Arial" w:cs="Arial" w:eastAsia="Arial" w:hAnsi="Arial"/>
        <w:color w:val="CC0088"/>
        <w:sz w:val="16"/>
        <w:szCs w:val="16"/>
      </w:rPr>
      <w:t xml:space="preserve">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00"/>
        <w:ind w:left="720" w:hanging="360"/>
      </w:pPr>
    </w:lvl>
  </w:abstractNum>
  <w:abstractNum w:abstractNumId="3" w15:restartNumberingAfterBreak="0">
    <w:multiLevelType w:val="hybridMultilevel"/>
    <w:lvl w:ilvl="0" w15:tentative="1">
      <w:start w:val="1"/>
      <w:numFmt w:val="lowerLetter"/>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CC0088"/>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0336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a1a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2026-05-18T06:44:47.631Z</dcterms:created>
  <dcterms:modified xsi:type="dcterms:W3CDTF">2026-05-18T06:44:47.644Z</dcterms:modified>
</cp:coreProperties>
</file>

<file path=docProps/custom.xml><?xml version="1.0" encoding="utf-8"?>
<Properties xmlns="http://schemas.openxmlformats.org/officeDocument/2006/custom-properties" xmlns:vt="http://schemas.openxmlformats.org/officeDocument/2006/docPropsVTypes"/>
</file>