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C347" w14:textId="61869434" w:rsidR="00CD438C" w:rsidRPr="00EA13BE" w:rsidRDefault="0056013A" w:rsidP="009A3993">
      <w:pPr>
        <w:spacing w:line="240" w:lineRule="auto"/>
        <w:rPr>
          <w:rFonts w:ascii="Times New Roman" w:hAnsi="Times New Roman" w:cs="Times New Roman"/>
          <w:b/>
          <w:bCs/>
        </w:rPr>
      </w:pPr>
      <w:bookmarkStart w:id="0" w:name="_Hlk214488220"/>
      <w:bookmarkEnd w:id="0"/>
      <w:r w:rsidRPr="00EA13BE">
        <w:rPr>
          <w:rFonts w:ascii="Times New Roman" w:hAnsi="Times New Roman" w:cs="Times New Roman"/>
          <w:b/>
          <w:bCs/>
        </w:rPr>
        <w:t xml:space="preserve">An Examination of </w:t>
      </w:r>
      <w:r w:rsidR="00EA13BE">
        <w:rPr>
          <w:rFonts w:ascii="Times New Roman" w:hAnsi="Times New Roman" w:cs="Times New Roman"/>
          <w:b/>
          <w:bCs/>
        </w:rPr>
        <w:t xml:space="preserve">the Relationship of </w:t>
      </w:r>
      <w:r w:rsidR="009A3993" w:rsidRPr="00EA13BE">
        <w:rPr>
          <w:rFonts w:ascii="Times New Roman" w:hAnsi="Times New Roman" w:cs="Times New Roman"/>
          <w:b/>
          <w:bCs/>
        </w:rPr>
        <w:t>Yellowstone Wolf and Elk Populations</w:t>
      </w:r>
    </w:p>
    <w:p w14:paraId="5F514E57" w14:textId="08008012" w:rsidR="008A11E4" w:rsidRDefault="009A3993" w:rsidP="009A3993">
      <w:pPr>
        <w:spacing w:line="240" w:lineRule="auto"/>
        <w:rPr>
          <w:rFonts w:ascii="Times New Roman" w:hAnsi="Times New Roman" w:cs="Times New Roman"/>
        </w:rPr>
      </w:pPr>
      <w:r>
        <w:rPr>
          <w:rFonts w:ascii="Times New Roman" w:hAnsi="Times New Roman" w:cs="Times New Roman"/>
        </w:rPr>
        <w:t>Shannon Keeney</w:t>
      </w:r>
    </w:p>
    <w:p w14:paraId="5AC1A870" w14:textId="77777777" w:rsidR="009A3993" w:rsidRPr="009A3993" w:rsidRDefault="009A3993" w:rsidP="009A3993">
      <w:pPr>
        <w:spacing w:line="240" w:lineRule="auto"/>
        <w:rPr>
          <w:rFonts w:ascii="Times New Roman" w:hAnsi="Times New Roman" w:cs="Times New Roman"/>
        </w:rPr>
      </w:pPr>
    </w:p>
    <w:p w14:paraId="3FFFD0AC" w14:textId="77777777" w:rsidR="00505BF1" w:rsidRDefault="0056013A">
      <w:pPr>
        <w:rPr>
          <w:rFonts w:ascii="Times New Roman" w:hAnsi="Times New Roman" w:cs="Times New Roman"/>
        </w:rPr>
      </w:pPr>
      <w:r>
        <w:rPr>
          <w:rFonts w:ascii="Times New Roman" w:hAnsi="Times New Roman" w:cs="Times New Roman"/>
        </w:rPr>
        <w:t xml:space="preserve">After wolves were extirpated in Yellowstone National Park in 1926, herbivores, like elk, lost a natural predator. Elk would overgraze vegetation in some areas of the park. This led to the erosion of streams and lack of food and shelter for other species that depended on plant growth. The reintroduction of wolves in 1995 and 1996 was important to help manage the elk population. The reintroduction of the predator greatly improved the grazing impact of elk in Yellowstone since wolves manage elk populations better than resource availability. Without wolves, elk would eventually reach their carrying capacity in the ecosystem. Yellowstone used to be home to about 20,000 elk but the abundance has fallen to as few as 5,000 since the reintroduction. (Smith et al., 2020). </w:t>
      </w:r>
    </w:p>
    <w:p w14:paraId="2D638442" w14:textId="27106CFC" w:rsidR="00C23227" w:rsidRDefault="0056013A">
      <w:pPr>
        <w:rPr>
          <w:rFonts w:ascii="Times New Roman" w:hAnsi="Times New Roman" w:cs="Times New Roman"/>
        </w:rPr>
      </w:pPr>
      <w:r w:rsidRPr="00F907E2">
        <w:rPr>
          <w:rFonts w:ascii="Times New Roman" w:hAnsi="Times New Roman" w:cs="Times New Roman"/>
        </w:rPr>
        <w:t xml:space="preserve">The purpose of this project is to </w:t>
      </w:r>
      <w:r>
        <w:rPr>
          <w:rFonts w:ascii="Times New Roman" w:hAnsi="Times New Roman" w:cs="Times New Roman"/>
        </w:rPr>
        <w:t>examine the relationship between the Yellowstone wolf population and the elk population. This project will compare the predicted elk count to the population count of wolves</w:t>
      </w:r>
      <w:r w:rsidR="00C23227">
        <w:rPr>
          <w:rFonts w:ascii="Times New Roman" w:hAnsi="Times New Roman" w:cs="Times New Roman"/>
        </w:rPr>
        <w:t xml:space="preserve"> to see if there is a correlation between the two or if population trends are found.</w:t>
      </w:r>
    </w:p>
    <w:p w14:paraId="5D9611D8" w14:textId="53C6FE87" w:rsidR="00192F3A" w:rsidRPr="00192F3A" w:rsidRDefault="00192F3A">
      <w:pPr>
        <w:rPr>
          <w:rFonts w:ascii="Times New Roman" w:hAnsi="Times New Roman" w:cs="Times New Roman"/>
        </w:rPr>
      </w:pPr>
      <w:r>
        <w:rPr>
          <w:rFonts w:ascii="Times New Roman" w:hAnsi="Times New Roman" w:cs="Times New Roman"/>
        </w:rPr>
        <w:t xml:space="preserve">The </w:t>
      </w:r>
      <w:r w:rsidR="009A11E8">
        <w:rPr>
          <w:rFonts w:ascii="Times New Roman" w:hAnsi="Times New Roman" w:cs="Times New Roman"/>
        </w:rPr>
        <w:t>population counts are the average for each year between 1995 a</w:t>
      </w:r>
      <w:r w:rsidR="00767E51">
        <w:rPr>
          <w:rFonts w:ascii="Times New Roman" w:hAnsi="Times New Roman" w:cs="Times New Roman"/>
        </w:rPr>
        <w:t>n</w:t>
      </w:r>
      <w:r w:rsidR="009A11E8">
        <w:rPr>
          <w:rFonts w:ascii="Times New Roman" w:hAnsi="Times New Roman" w:cs="Times New Roman"/>
        </w:rPr>
        <w:t xml:space="preserve">d 2022. Although, this data was </w:t>
      </w:r>
      <w:r w:rsidR="00767E51">
        <w:rPr>
          <w:rFonts w:ascii="Times New Roman" w:hAnsi="Times New Roman" w:cs="Times New Roman"/>
        </w:rPr>
        <w:t xml:space="preserve">collected based on the mortality of a Yellowstone wolf, it created clearer graphs to use the </w:t>
      </w:r>
      <w:r w:rsidR="00F863C7">
        <w:rPr>
          <w:rFonts w:ascii="Times New Roman" w:hAnsi="Times New Roman" w:cs="Times New Roman"/>
        </w:rPr>
        <w:t>average</w:t>
      </w:r>
      <w:r w:rsidR="00767E51">
        <w:rPr>
          <w:rFonts w:ascii="Times New Roman" w:hAnsi="Times New Roman" w:cs="Times New Roman"/>
        </w:rPr>
        <w:t xml:space="preserve">. </w:t>
      </w:r>
    </w:p>
    <w:p w14:paraId="7B3A20DC" w14:textId="2E559436" w:rsidR="008A11E4" w:rsidRDefault="0067258B">
      <w:pPr>
        <w:rPr>
          <w:noProof/>
        </w:rPr>
      </w:pPr>
      <w:r w:rsidRPr="00CC1BFD">
        <w:rPr>
          <w:rFonts w:ascii="Aptos" w:eastAsia="Aptos" w:hAnsi="Aptos"/>
          <w:noProof/>
        </w:rPr>
        <w:drawing>
          <wp:inline distT="0" distB="0" distL="0" distR="0" wp14:anchorId="2423B1DD" wp14:editId="3A6CBEB3">
            <wp:extent cx="5943600" cy="3310255"/>
            <wp:effectExtent l="0" t="0" r="0" b="4445"/>
            <wp:docPr id="1836140555" name="Chart 1">
              <a:extLst xmlns:a="http://schemas.openxmlformats.org/drawingml/2006/main">
                <a:ext uri="{FF2B5EF4-FFF2-40B4-BE49-F238E27FC236}">
                  <a16:creationId xmlns:a16="http://schemas.microsoft.com/office/drawing/2014/main" id="{C53DEF41-5756-D022-210C-9E8722997E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5D855E29" w14:textId="77777777" w:rsidR="00430A91" w:rsidRPr="00593B54" w:rsidRDefault="00430A91" w:rsidP="00430A91">
      <w:pPr>
        <w:rPr>
          <w:rFonts w:ascii="Times New Roman" w:eastAsia="Aptos" w:hAnsi="Times New Roman" w:cs="Times New Roman"/>
          <w:noProof/>
        </w:rPr>
      </w:pPr>
      <w:r w:rsidRPr="00593B54">
        <w:rPr>
          <w:rFonts w:ascii="Times New Roman" w:eastAsia="Aptos" w:hAnsi="Times New Roman" w:cs="Times New Roman"/>
          <w:noProof/>
        </w:rPr>
        <w:t>Cassidy et al., 2024</w:t>
      </w:r>
    </w:p>
    <w:p w14:paraId="607A3D62" w14:textId="1A2721D3" w:rsidR="00430A91" w:rsidRPr="00E67FAC" w:rsidRDefault="00430A91" w:rsidP="00430A91">
      <w:pPr>
        <w:rPr>
          <w:rFonts w:eastAsia="Aptos"/>
          <w:noProof/>
        </w:rPr>
      </w:pPr>
      <w:r w:rsidRPr="00E67FAC">
        <w:rPr>
          <w:rFonts w:eastAsia="Aptos"/>
          <w:noProof/>
        </w:rPr>
        <w:lastRenderedPageBreak/>
        <w:t>Graph 1 shows the average wolf count</w:t>
      </w:r>
      <w:r w:rsidR="00593B54">
        <w:rPr>
          <w:rFonts w:eastAsia="Aptos"/>
          <w:noProof/>
        </w:rPr>
        <w:t xml:space="preserve"> (WC)</w:t>
      </w:r>
      <w:r w:rsidRPr="00E67FAC">
        <w:rPr>
          <w:rFonts w:eastAsia="Aptos"/>
          <w:noProof/>
        </w:rPr>
        <w:t xml:space="preserve"> and the predicted elk count</w:t>
      </w:r>
      <w:r>
        <w:rPr>
          <w:rFonts w:eastAsia="Aptos"/>
          <w:noProof/>
        </w:rPr>
        <w:t xml:space="preserve"> </w:t>
      </w:r>
      <w:r w:rsidR="00593B54">
        <w:rPr>
          <w:rFonts w:eastAsia="Aptos"/>
          <w:noProof/>
        </w:rPr>
        <w:t xml:space="preserve">(PED) </w:t>
      </w:r>
      <w:r>
        <w:rPr>
          <w:rFonts w:eastAsia="Aptos"/>
          <w:noProof/>
        </w:rPr>
        <w:t>(10^-3) from 1995 to 2022</w:t>
      </w:r>
      <w:r w:rsidRPr="00E67FAC">
        <w:rPr>
          <w:rFonts w:eastAsia="Aptos"/>
          <w:noProof/>
        </w:rPr>
        <w:t>, the left y-axis is for the wolf count, and the right y-axis is for the predicted elk count. The populations stabilize in 2009.</w:t>
      </w:r>
      <w:r>
        <w:rPr>
          <w:rFonts w:eastAsia="Aptos"/>
          <w:noProof/>
        </w:rPr>
        <w:t xml:space="preserve"> The dotted lines are trendlines.</w:t>
      </w:r>
    </w:p>
    <w:p w14:paraId="492F59B9" w14:textId="273422FC" w:rsidR="008A11E4" w:rsidRDefault="004B5EFF">
      <w:r>
        <w:rPr>
          <w:noProof/>
        </w:rPr>
        <w:drawing>
          <wp:inline distT="0" distB="0" distL="0" distR="0" wp14:anchorId="162EEE3F" wp14:editId="6E82A536">
            <wp:extent cx="4373880" cy="4865328"/>
            <wp:effectExtent l="0" t="0" r="7620" b="0"/>
            <wp:docPr id="1391143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3242" name="Picture 1" descr="A screenshot of a computer&#10;&#10;AI-generated content may be incorrect."/>
                    <pic:cNvPicPr/>
                  </pic:nvPicPr>
                  <pic:blipFill rotWithShape="1">
                    <a:blip r:embed="rId5"/>
                    <a:srcRect l="27693" t="24160" r="38077" b="8148"/>
                    <a:stretch>
                      <a:fillRect/>
                    </a:stretch>
                  </pic:blipFill>
                  <pic:spPr bwMode="auto">
                    <a:xfrm>
                      <a:off x="0" y="0"/>
                      <a:ext cx="4381577" cy="4873890"/>
                    </a:xfrm>
                    <a:prstGeom prst="rect">
                      <a:avLst/>
                    </a:prstGeom>
                    <a:ln>
                      <a:noFill/>
                    </a:ln>
                    <a:extLst>
                      <a:ext uri="{53640926-AAD7-44D8-BBD7-CCE9431645EC}">
                        <a14:shadowObscured xmlns:a14="http://schemas.microsoft.com/office/drawing/2010/main"/>
                      </a:ext>
                    </a:extLst>
                  </pic:spPr>
                </pic:pic>
              </a:graphicData>
            </a:graphic>
          </wp:inline>
        </w:drawing>
      </w:r>
    </w:p>
    <w:p w14:paraId="5E29B4AC" w14:textId="5B8C0BAF" w:rsidR="00A02496" w:rsidRDefault="004B5EFF" w:rsidP="00DA5346">
      <w:pPr>
        <w:rPr>
          <w:rFonts w:ascii="Times New Roman" w:hAnsi="Times New Roman" w:cs="Times New Roman"/>
        </w:rPr>
      </w:pPr>
      <w:r>
        <w:rPr>
          <w:rFonts w:ascii="Times New Roman" w:hAnsi="Times New Roman" w:cs="Times New Roman"/>
        </w:rPr>
        <w:t xml:space="preserve">Graph 2 shows the </w:t>
      </w:r>
      <w:r>
        <w:rPr>
          <w:rFonts w:ascii="Times New Roman" w:hAnsi="Times New Roman" w:cs="Times New Roman"/>
          <w:noProof/>
        </w:rPr>
        <w:t>average wolf count and the predicted elk count (</w:t>
      </w:r>
      <w:r w:rsidR="00870A83">
        <w:rPr>
          <w:rFonts w:ascii="Times New Roman" w:hAnsi="Times New Roman" w:cs="Times New Roman"/>
          <w:noProof/>
        </w:rPr>
        <w:t>10</w:t>
      </w:r>
      <w:r>
        <w:rPr>
          <w:rFonts w:ascii="Times New Roman" w:hAnsi="Times New Roman" w:cs="Times New Roman"/>
          <w:noProof/>
        </w:rPr>
        <w:t>^-3) from 1995 to 2022</w:t>
      </w:r>
      <w:r w:rsidR="00AB5919">
        <w:rPr>
          <w:rFonts w:ascii="Times New Roman" w:hAnsi="Times New Roman" w:cs="Times New Roman"/>
          <w:noProof/>
        </w:rPr>
        <w:t xml:space="preserve"> on two graphs with the same x-axis and 2 y-axis. This allows the </w:t>
      </w:r>
      <w:r w:rsidR="00F25BF2">
        <w:rPr>
          <w:rFonts w:ascii="Times New Roman" w:hAnsi="Times New Roman" w:cs="Times New Roman"/>
          <w:noProof/>
        </w:rPr>
        <w:t>wolf and elk count to be properly scaled while also being compared</w:t>
      </w:r>
      <w:r w:rsidR="001E4FD5">
        <w:rPr>
          <w:rFonts w:ascii="Times New Roman" w:hAnsi="Times New Roman" w:cs="Times New Roman"/>
          <w:noProof/>
        </w:rPr>
        <w:t xml:space="preserve">. </w:t>
      </w:r>
      <w:r w:rsidR="00EE3A40">
        <w:rPr>
          <w:rFonts w:ascii="Times New Roman" w:hAnsi="Times New Roman" w:cs="Times New Roman"/>
          <w:noProof/>
        </w:rPr>
        <w:t xml:space="preserve">It shows that after Yellowstone wolves were reintroduced, the elk population has been on a downward trend. </w:t>
      </w:r>
      <w:r w:rsidR="00CD18DA">
        <w:rPr>
          <w:rFonts w:ascii="Times New Roman" w:hAnsi="Times New Roman" w:cs="Times New Roman"/>
          <w:noProof/>
        </w:rPr>
        <w:t xml:space="preserve">It also shows that after small spikes in the elk population that there is also a small spike in the wolf population. </w:t>
      </w:r>
      <w:r w:rsidR="00EA13BE">
        <w:rPr>
          <w:rFonts w:ascii="Times New Roman" w:hAnsi="Times New Roman" w:cs="Times New Roman"/>
          <w:noProof/>
        </w:rPr>
        <w:t xml:space="preserve">Which then is followed by a small decrease in both populations. </w:t>
      </w:r>
      <w:r w:rsidR="00AC7A4F">
        <w:rPr>
          <w:rFonts w:ascii="Times New Roman" w:hAnsi="Times New Roman" w:cs="Times New Roman"/>
          <w:noProof/>
        </w:rPr>
        <w:t xml:space="preserve">Both populations </w:t>
      </w:r>
      <w:r w:rsidR="00507ADE">
        <w:rPr>
          <w:rFonts w:ascii="Times New Roman" w:hAnsi="Times New Roman" w:cs="Times New Roman"/>
          <w:noProof/>
        </w:rPr>
        <w:t>stabilized</w:t>
      </w:r>
      <w:r w:rsidR="005E23BC">
        <w:rPr>
          <w:rFonts w:ascii="Times New Roman" w:hAnsi="Times New Roman" w:cs="Times New Roman"/>
          <w:noProof/>
        </w:rPr>
        <w:t xml:space="preserve"> in 200</w:t>
      </w:r>
      <w:r w:rsidR="00507ADE">
        <w:rPr>
          <w:rFonts w:ascii="Times New Roman" w:hAnsi="Times New Roman" w:cs="Times New Roman"/>
          <w:noProof/>
        </w:rPr>
        <w:t>9</w:t>
      </w:r>
      <w:r w:rsidR="005E23BC">
        <w:rPr>
          <w:rFonts w:ascii="Times New Roman" w:hAnsi="Times New Roman" w:cs="Times New Roman"/>
          <w:noProof/>
        </w:rPr>
        <w:t xml:space="preserve"> and have had small fluctuations </w:t>
      </w:r>
      <w:r w:rsidR="00DF450F">
        <w:rPr>
          <w:rFonts w:ascii="Times New Roman" w:hAnsi="Times New Roman" w:cs="Times New Roman"/>
          <w:noProof/>
        </w:rPr>
        <w:t xml:space="preserve">since then. </w:t>
      </w:r>
    </w:p>
    <w:p w14:paraId="0EA0E9F6" w14:textId="1DA35FF6" w:rsidR="00DA5346" w:rsidRPr="00DA5346" w:rsidRDefault="00DA5346" w:rsidP="00DA5346">
      <w:pPr>
        <w:rPr>
          <w:rFonts w:ascii="Times New Roman" w:hAnsi="Times New Roman" w:cs="Times New Roman"/>
          <w:b/>
          <w:bCs/>
        </w:rPr>
      </w:pPr>
      <w:r w:rsidRPr="00DA5346">
        <w:rPr>
          <w:rFonts w:ascii="Times New Roman" w:hAnsi="Times New Roman" w:cs="Times New Roman"/>
          <w:b/>
          <w:bCs/>
        </w:rPr>
        <w:t>Source</w:t>
      </w:r>
    </w:p>
    <w:p w14:paraId="01050AEC" w14:textId="77777777" w:rsidR="00A02496" w:rsidRPr="00A17245" w:rsidRDefault="00A02496" w:rsidP="00DA5346">
      <w:pPr>
        <w:spacing w:line="240" w:lineRule="auto"/>
        <w:rPr>
          <w:rFonts w:ascii="Times New Roman" w:hAnsi="Times New Roman" w:cs="Times New Roman"/>
        </w:rPr>
      </w:pPr>
      <w:r w:rsidRPr="00A17245">
        <w:rPr>
          <w:rFonts w:ascii="Times New Roman" w:hAnsi="Times New Roman" w:cs="Times New Roman"/>
        </w:rPr>
        <w:t xml:space="preserve">Cassidy, B., Smith, D. W., Cassidy, K., Stahler, D., &amp; Hebblewhite, M. (2024). Harvest of </w:t>
      </w:r>
    </w:p>
    <w:p w14:paraId="3980AA72" w14:textId="77777777" w:rsidR="00A02496" w:rsidRPr="00A17245" w:rsidRDefault="00A02496" w:rsidP="00DA5346">
      <w:pPr>
        <w:spacing w:line="240" w:lineRule="auto"/>
        <w:ind w:left="720"/>
        <w:rPr>
          <w:rFonts w:ascii="Times New Roman" w:hAnsi="Times New Roman" w:cs="Times New Roman"/>
        </w:rPr>
      </w:pPr>
      <w:r w:rsidRPr="00A17245">
        <w:rPr>
          <w:rFonts w:ascii="Times New Roman" w:hAnsi="Times New Roman" w:cs="Times New Roman"/>
        </w:rPr>
        <w:lastRenderedPageBreak/>
        <w:t>transboundary gray wolves from Yellowstone National Park is largely additive. </w:t>
      </w:r>
      <w:r w:rsidRPr="00A17245">
        <w:rPr>
          <w:rFonts w:ascii="Times New Roman" w:hAnsi="Times New Roman" w:cs="Times New Roman"/>
          <w:i/>
          <w:iCs/>
        </w:rPr>
        <w:t>Journal of Applied Ecoloy</w:t>
      </w:r>
      <w:r w:rsidRPr="00A17245">
        <w:rPr>
          <w:rFonts w:ascii="Times New Roman" w:hAnsi="Times New Roman" w:cs="Times New Roman"/>
        </w:rPr>
        <w:t>, </w:t>
      </w:r>
      <w:r w:rsidRPr="00A17245">
        <w:rPr>
          <w:rFonts w:ascii="Times New Roman" w:hAnsi="Times New Roman" w:cs="Times New Roman"/>
          <w:i/>
          <w:iCs/>
        </w:rPr>
        <w:t>61</w:t>
      </w:r>
      <w:r w:rsidRPr="00A17245">
        <w:rPr>
          <w:rFonts w:ascii="Times New Roman" w:hAnsi="Times New Roman" w:cs="Times New Roman"/>
        </w:rPr>
        <w:t>(9), 2180–2193. </w:t>
      </w:r>
      <w:hyperlink r:id="rId6" w:history="1">
        <w:r w:rsidRPr="00A17245">
          <w:rPr>
            <w:rStyle w:val="Hyperlink"/>
            <w:rFonts w:ascii="Times New Roman" w:hAnsi="Times New Roman" w:cs="Times New Roman"/>
          </w:rPr>
          <w:t>https://besjournals.onlinelibrary.wiley.com/doi/full/10.1111/1365-2664.14720</w:t>
        </w:r>
      </w:hyperlink>
    </w:p>
    <w:p w14:paraId="08197D99" w14:textId="77777777" w:rsidR="005E6490" w:rsidRPr="00A17245" w:rsidRDefault="005E6490" w:rsidP="00DA5346">
      <w:pPr>
        <w:spacing w:line="240" w:lineRule="auto"/>
        <w:rPr>
          <w:rFonts w:ascii="Times New Roman" w:hAnsi="Times New Roman" w:cs="Times New Roman"/>
          <w:i/>
          <w:iCs/>
        </w:rPr>
      </w:pPr>
      <w:r w:rsidRPr="00A17245">
        <w:rPr>
          <w:rFonts w:ascii="Times New Roman" w:hAnsi="Times New Roman" w:cs="Times New Roman"/>
        </w:rPr>
        <w:t>Smith, D. W., Stahler, D. R., &amp; MacNulty, D. R. (2020). </w:t>
      </w:r>
      <w:r w:rsidRPr="00A17245">
        <w:rPr>
          <w:rFonts w:ascii="Times New Roman" w:hAnsi="Times New Roman" w:cs="Times New Roman"/>
          <w:i/>
          <w:iCs/>
        </w:rPr>
        <w:t xml:space="preserve">Yellowstone Wolves: Science and </w:t>
      </w:r>
    </w:p>
    <w:p w14:paraId="2EA97D1E" w14:textId="1E469D5A" w:rsidR="00F52C66" w:rsidRPr="00DA5346" w:rsidRDefault="005E6490" w:rsidP="00DA5346">
      <w:pPr>
        <w:spacing w:line="240" w:lineRule="auto"/>
        <w:ind w:firstLine="720"/>
        <w:rPr>
          <w:rFonts w:ascii="Times New Roman" w:hAnsi="Times New Roman" w:cs="Times New Roman"/>
        </w:rPr>
      </w:pPr>
      <w:r w:rsidRPr="00A17245">
        <w:rPr>
          <w:rFonts w:ascii="Times New Roman" w:hAnsi="Times New Roman" w:cs="Times New Roman"/>
          <w:i/>
          <w:iCs/>
        </w:rPr>
        <w:t>Discovery in the World’s First National Park</w:t>
      </w:r>
      <w:r w:rsidRPr="00A17245">
        <w:rPr>
          <w:rFonts w:ascii="Times New Roman" w:hAnsi="Times New Roman" w:cs="Times New Roman"/>
        </w:rPr>
        <w:t>. University of Chicago Press.</w:t>
      </w:r>
    </w:p>
    <w:sectPr w:rsidR="00F52C66" w:rsidRPr="00DA5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E4"/>
    <w:rsid w:val="00046935"/>
    <w:rsid w:val="0008548F"/>
    <w:rsid w:val="00192F3A"/>
    <w:rsid w:val="001E23C2"/>
    <w:rsid w:val="001E4FD5"/>
    <w:rsid w:val="002B6892"/>
    <w:rsid w:val="00430A91"/>
    <w:rsid w:val="004B5EFF"/>
    <w:rsid w:val="00505BF1"/>
    <w:rsid w:val="00507ADE"/>
    <w:rsid w:val="0056013A"/>
    <w:rsid w:val="00593B54"/>
    <w:rsid w:val="005E23BC"/>
    <w:rsid w:val="005E6490"/>
    <w:rsid w:val="006427BE"/>
    <w:rsid w:val="0067258B"/>
    <w:rsid w:val="00767E51"/>
    <w:rsid w:val="007F44FB"/>
    <w:rsid w:val="00870A83"/>
    <w:rsid w:val="008A11E4"/>
    <w:rsid w:val="009A11E8"/>
    <w:rsid w:val="009A3993"/>
    <w:rsid w:val="009F2E78"/>
    <w:rsid w:val="00A02496"/>
    <w:rsid w:val="00A51301"/>
    <w:rsid w:val="00AB5919"/>
    <w:rsid w:val="00AC1BE7"/>
    <w:rsid w:val="00AC61F4"/>
    <w:rsid w:val="00AC7A4F"/>
    <w:rsid w:val="00B077F6"/>
    <w:rsid w:val="00B341C5"/>
    <w:rsid w:val="00C23227"/>
    <w:rsid w:val="00CB2EAE"/>
    <w:rsid w:val="00CD18DA"/>
    <w:rsid w:val="00CD438C"/>
    <w:rsid w:val="00DA5346"/>
    <w:rsid w:val="00DF450F"/>
    <w:rsid w:val="00EA13BE"/>
    <w:rsid w:val="00EE3A40"/>
    <w:rsid w:val="00F25BF2"/>
    <w:rsid w:val="00F52C66"/>
    <w:rsid w:val="00F863C7"/>
    <w:rsid w:val="00FF0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77BE"/>
  <w15:chartTrackingRefBased/>
  <w15:docId w15:val="{9AD8B4CD-AEBA-42AF-BCCA-10A5A5B1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E4"/>
    <w:rPr>
      <w:rFonts w:eastAsiaTheme="majorEastAsia" w:cstheme="majorBidi"/>
      <w:color w:val="272727" w:themeColor="text1" w:themeTint="D8"/>
    </w:rPr>
  </w:style>
  <w:style w:type="paragraph" w:styleId="Title">
    <w:name w:val="Title"/>
    <w:basedOn w:val="Normal"/>
    <w:next w:val="Normal"/>
    <w:link w:val="TitleChar"/>
    <w:uiPriority w:val="10"/>
    <w:qFormat/>
    <w:rsid w:val="008A1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E4"/>
    <w:pPr>
      <w:spacing w:before="160"/>
      <w:jc w:val="center"/>
    </w:pPr>
    <w:rPr>
      <w:i/>
      <w:iCs/>
      <w:color w:val="404040" w:themeColor="text1" w:themeTint="BF"/>
    </w:rPr>
  </w:style>
  <w:style w:type="character" w:customStyle="1" w:styleId="QuoteChar">
    <w:name w:val="Quote Char"/>
    <w:basedOn w:val="DefaultParagraphFont"/>
    <w:link w:val="Quote"/>
    <w:uiPriority w:val="29"/>
    <w:rsid w:val="008A11E4"/>
    <w:rPr>
      <w:i/>
      <w:iCs/>
      <w:color w:val="404040" w:themeColor="text1" w:themeTint="BF"/>
    </w:rPr>
  </w:style>
  <w:style w:type="paragraph" w:styleId="ListParagraph">
    <w:name w:val="List Paragraph"/>
    <w:basedOn w:val="Normal"/>
    <w:uiPriority w:val="34"/>
    <w:qFormat/>
    <w:rsid w:val="008A11E4"/>
    <w:pPr>
      <w:ind w:left="720"/>
      <w:contextualSpacing/>
    </w:pPr>
  </w:style>
  <w:style w:type="character" w:styleId="IntenseEmphasis">
    <w:name w:val="Intense Emphasis"/>
    <w:basedOn w:val="DefaultParagraphFont"/>
    <w:uiPriority w:val="21"/>
    <w:qFormat/>
    <w:rsid w:val="008A11E4"/>
    <w:rPr>
      <w:i/>
      <w:iCs/>
      <w:color w:val="0F4761" w:themeColor="accent1" w:themeShade="BF"/>
    </w:rPr>
  </w:style>
  <w:style w:type="paragraph" w:styleId="IntenseQuote">
    <w:name w:val="Intense Quote"/>
    <w:basedOn w:val="Normal"/>
    <w:next w:val="Normal"/>
    <w:link w:val="IntenseQuoteChar"/>
    <w:uiPriority w:val="30"/>
    <w:qFormat/>
    <w:rsid w:val="008A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1E4"/>
    <w:rPr>
      <w:i/>
      <w:iCs/>
      <w:color w:val="0F4761" w:themeColor="accent1" w:themeShade="BF"/>
    </w:rPr>
  </w:style>
  <w:style w:type="character" w:styleId="IntenseReference">
    <w:name w:val="Intense Reference"/>
    <w:basedOn w:val="DefaultParagraphFont"/>
    <w:uiPriority w:val="32"/>
    <w:qFormat/>
    <w:rsid w:val="008A11E4"/>
    <w:rPr>
      <w:b/>
      <w:bCs/>
      <w:smallCaps/>
      <w:color w:val="0F4761" w:themeColor="accent1" w:themeShade="BF"/>
      <w:spacing w:val="5"/>
    </w:rPr>
  </w:style>
  <w:style w:type="character" w:styleId="Hyperlink">
    <w:name w:val="Hyperlink"/>
    <w:basedOn w:val="DefaultParagraphFont"/>
    <w:uiPriority w:val="99"/>
    <w:unhideWhenUsed/>
    <w:rsid w:val="00A024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sjournals.onlinelibrary.wiley.com/doi/full/10.1111/1365-2664.14720" TargetMode="External"/><Relationship Id="rId5" Type="http://schemas.openxmlformats.org/officeDocument/2006/relationships/image" Target="media/image1.png"/><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28a54f0d31a2e0c/Desktop/Data%20Projects/Visualizing%20Data_Deliverable%208.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Wolf</a:t>
            </a:r>
            <a:r>
              <a:rPr lang="en-US" baseline="0"/>
              <a:t> and Elk Count by Year, 1995-2022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'Average by Year Charts'!$B$1</c:f>
              <c:strCache>
                <c:ptCount val="1"/>
                <c:pt idx="0">
                  <c:v>WC</c:v>
                </c:pt>
              </c:strCache>
            </c:strRef>
          </c:tx>
          <c:spPr>
            <a:ln w="28575" cap="rnd">
              <a:solidFill>
                <a:srgbClr val="4472C4"/>
              </a:solidFill>
              <a:round/>
            </a:ln>
            <a:effectLst/>
          </c:spPr>
          <c:marker>
            <c:symbol val="none"/>
          </c:marker>
          <c:trendline>
            <c:spPr>
              <a:ln w="19050" cap="rnd">
                <a:solidFill>
                  <a:srgbClr val="0070C0"/>
                </a:solidFill>
                <a:prstDash val="sysDot"/>
              </a:ln>
              <a:effectLst/>
            </c:spPr>
            <c:trendlineType val="linear"/>
            <c:dispRSqr val="0"/>
            <c:dispEq val="0"/>
          </c:trendline>
          <c:cat>
            <c:numRef>
              <c:f>'Average by Year Charts'!$A$2:$A$29</c:f>
              <c:numCache>
                <c:formatCode>General</c:formatCode>
                <c:ptCount val="28"/>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pt idx="22">
                  <c:v>2017</c:v>
                </c:pt>
                <c:pt idx="23">
                  <c:v>2018</c:v>
                </c:pt>
                <c:pt idx="24">
                  <c:v>2019</c:v>
                </c:pt>
                <c:pt idx="25">
                  <c:v>2020</c:v>
                </c:pt>
                <c:pt idx="26">
                  <c:v>2021</c:v>
                </c:pt>
                <c:pt idx="27">
                  <c:v>2022</c:v>
                </c:pt>
              </c:numCache>
            </c:numRef>
          </c:cat>
          <c:val>
            <c:numRef>
              <c:f>'Average by Year Charts'!$B$2:$B$29</c:f>
              <c:numCache>
                <c:formatCode>General</c:formatCode>
                <c:ptCount val="28"/>
                <c:pt idx="0">
                  <c:v>51</c:v>
                </c:pt>
                <c:pt idx="1">
                  <c:v>58</c:v>
                </c:pt>
                <c:pt idx="2">
                  <c:v>94.666669999999996</c:v>
                </c:pt>
                <c:pt idx="3">
                  <c:v>113.2</c:v>
                </c:pt>
                <c:pt idx="4">
                  <c:v>118.33329999999999</c:v>
                </c:pt>
                <c:pt idx="5">
                  <c:v>119</c:v>
                </c:pt>
                <c:pt idx="6">
                  <c:v>137.33330000000001</c:v>
                </c:pt>
                <c:pt idx="7">
                  <c:v>154.5</c:v>
                </c:pt>
                <c:pt idx="8">
                  <c:v>173.4</c:v>
                </c:pt>
                <c:pt idx="9">
                  <c:v>157.75</c:v>
                </c:pt>
                <c:pt idx="10">
                  <c:v>122.2353</c:v>
                </c:pt>
                <c:pt idx="11">
                  <c:v>143</c:v>
                </c:pt>
                <c:pt idx="12">
                  <c:v>152.19999999999999</c:v>
                </c:pt>
                <c:pt idx="13">
                  <c:v>103</c:v>
                </c:pt>
                <c:pt idx="14">
                  <c:v>96.666669999999996</c:v>
                </c:pt>
                <c:pt idx="15">
                  <c:v>97.333330000000004</c:v>
                </c:pt>
                <c:pt idx="16">
                  <c:v>87.090909999999994</c:v>
                </c:pt>
                <c:pt idx="17">
                  <c:v>87.285709999999995</c:v>
                </c:pt>
                <c:pt idx="18">
                  <c:v>98.6</c:v>
                </c:pt>
                <c:pt idx="19">
                  <c:v>99.5</c:v>
                </c:pt>
                <c:pt idx="20">
                  <c:v>103</c:v>
                </c:pt>
                <c:pt idx="21">
                  <c:v>105.25</c:v>
                </c:pt>
                <c:pt idx="22">
                  <c:v>97</c:v>
                </c:pt>
                <c:pt idx="23">
                  <c:v>80</c:v>
                </c:pt>
                <c:pt idx="24">
                  <c:v>95.5</c:v>
                </c:pt>
                <c:pt idx="25">
                  <c:v>101.25</c:v>
                </c:pt>
                <c:pt idx="26">
                  <c:v>110.111</c:v>
                </c:pt>
                <c:pt idx="27">
                  <c:v>94</c:v>
                </c:pt>
              </c:numCache>
            </c:numRef>
          </c:val>
          <c:smooth val="0"/>
          <c:extLst>
            <c:ext xmlns:c16="http://schemas.microsoft.com/office/drawing/2014/chart" uri="{C3380CC4-5D6E-409C-BE32-E72D297353CC}">
              <c16:uniqueId val="{00000001-885E-4988-9CF2-123E3B48F9C6}"/>
            </c:ext>
          </c:extLst>
        </c:ser>
        <c:dLbls>
          <c:showLegendKey val="0"/>
          <c:showVal val="0"/>
          <c:showCatName val="0"/>
          <c:showSerName val="0"/>
          <c:showPercent val="0"/>
          <c:showBubbleSize val="0"/>
        </c:dLbls>
        <c:marker val="1"/>
        <c:smooth val="0"/>
        <c:axId val="1783894079"/>
        <c:axId val="1783895039"/>
      </c:lineChart>
      <c:lineChart>
        <c:grouping val="standard"/>
        <c:varyColors val="0"/>
        <c:ser>
          <c:idx val="1"/>
          <c:order val="1"/>
          <c:tx>
            <c:strRef>
              <c:f>'Average by Year Charts'!$C$1</c:f>
              <c:strCache>
                <c:ptCount val="1"/>
                <c:pt idx="0">
                  <c:v>PED</c:v>
                </c:pt>
              </c:strCache>
            </c:strRef>
          </c:tx>
          <c:spPr>
            <a:ln w="28575" cap="rnd">
              <a:solidFill>
                <a:srgbClr val="A5A5A5"/>
              </a:solidFill>
              <a:round/>
            </a:ln>
            <a:effectLst/>
          </c:spPr>
          <c:marker>
            <c:symbol val="none"/>
          </c:marker>
          <c:trendline>
            <c:spPr>
              <a:ln w="19050" cap="rnd">
                <a:solidFill>
                  <a:srgbClr val="A5A5A5"/>
                </a:solidFill>
                <a:prstDash val="sysDot"/>
              </a:ln>
              <a:effectLst/>
            </c:spPr>
            <c:trendlineType val="linear"/>
            <c:dispRSqr val="0"/>
            <c:dispEq val="0"/>
          </c:trendline>
          <c:cat>
            <c:numRef>
              <c:f>'Average by Year Charts'!$A$2:$A$29</c:f>
              <c:numCache>
                <c:formatCode>General</c:formatCode>
                <c:ptCount val="28"/>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pt idx="22">
                  <c:v>2017</c:v>
                </c:pt>
                <c:pt idx="23">
                  <c:v>2018</c:v>
                </c:pt>
                <c:pt idx="24">
                  <c:v>2019</c:v>
                </c:pt>
                <c:pt idx="25">
                  <c:v>2020</c:v>
                </c:pt>
                <c:pt idx="26">
                  <c:v>2021</c:v>
                </c:pt>
                <c:pt idx="27">
                  <c:v>2022</c:v>
                </c:pt>
              </c:numCache>
            </c:numRef>
          </c:cat>
          <c:val>
            <c:numRef>
              <c:f>'Average by Year Charts'!$C$2:$C$29</c:f>
              <c:numCache>
                <c:formatCode>General</c:formatCode>
                <c:ptCount val="28"/>
                <c:pt idx="0">
                  <c:v>15.061783</c:v>
                </c:pt>
                <c:pt idx="1">
                  <c:v>14.734680000000001</c:v>
                </c:pt>
                <c:pt idx="2">
                  <c:v>12.92558</c:v>
                </c:pt>
                <c:pt idx="3">
                  <c:v>11.93242</c:v>
                </c:pt>
                <c:pt idx="4">
                  <c:v>12.68741</c:v>
                </c:pt>
                <c:pt idx="5">
                  <c:v>14.13208</c:v>
                </c:pt>
                <c:pt idx="6">
                  <c:v>12.79922</c:v>
                </c:pt>
                <c:pt idx="7">
                  <c:v>11.206530000000001</c:v>
                </c:pt>
                <c:pt idx="8">
                  <c:v>9.2054559999999999</c:v>
                </c:pt>
                <c:pt idx="9">
                  <c:v>8.7089999999999996</c:v>
                </c:pt>
                <c:pt idx="10">
                  <c:v>8.9837640000000007</c:v>
                </c:pt>
                <c:pt idx="11">
                  <c:v>7.7820400000000003</c:v>
                </c:pt>
                <c:pt idx="12">
                  <c:v>6.6522220000000001</c:v>
                </c:pt>
                <c:pt idx="13">
                  <c:v>6.7860469999999999</c:v>
                </c:pt>
                <c:pt idx="14">
                  <c:v>6.3003130000000001</c:v>
                </c:pt>
                <c:pt idx="15">
                  <c:v>5.5621179999999999</c:v>
                </c:pt>
                <c:pt idx="16">
                  <c:v>4.347931</c:v>
                </c:pt>
                <c:pt idx="17">
                  <c:v>4.1378000000000004</c:v>
                </c:pt>
                <c:pt idx="18">
                  <c:v>4.1588890000000003</c:v>
                </c:pt>
                <c:pt idx="19">
                  <c:v>4.7081299999999997</c:v>
                </c:pt>
                <c:pt idx="20">
                  <c:v>4.8880800000000004</c:v>
                </c:pt>
                <c:pt idx="21">
                  <c:v>5.090916</c:v>
                </c:pt>
                <c:pt idx="22">
                  <c:v>5.4708600000000001</c:v>
                </c:pt>
                <c:pt idx="23">
                  <c:v>7.24092</c:v>
                </c:pt>
                <c:pt idx="24">
                  <c:v>6.3674600000000003</c:v>
                </c:pt>
                <c:pt idx="25">
                  <c:v>6.0608700000000004</c:v>
                </c:pt>
                <c:pt idx="26">
                  <c:v>6.0089199999999998</c:v>
                </c:pt>
                <c:pt idx="27">
                  <c:v>5.965592</c:v>
                </c:pt>
              </c:numCache>
            </c:numRef>
          </c:val>
          <c:smooth val="0"/>
          <c:extLst>
            <c:ext xmlns:c16="http://schemas.microsoft.com/office/drawing/2014/chart" uri="{C3380CC4-5D6E-409C-BE32-E72D297353CC}">
              <c16:uniqueId val="{00000003-885E-4988-9CF2-123E3B48F9C6}"/>
            </c:ext>
          </c:extLst>
        </c:ser>
        <c:dLbls>
          <c:showLegendKey val="0"/>
          <c:showVal val="0"/>
          <c:showCatName val="0"/>
          <c:showSerName val="0"/>
          <c:showPercent val="0"/>
          <c:showBubbleSize val="0"/>
        </c:dLbls>
        <c:marker val="1"/>
        <c:smooth val="0"/>
        <c:axId val="1761519743"/>
        <c:axId val="1761541823"/>
      </c:lineChart>
      <c:catAx>
        <c:axId val="1783894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3895039"/>
        <c:crosses val="autoZero"/>
        <c:auto val="1"/>
        <c:lblAlgn val="ctr"/>
        <c:lblOffset val="100"/>
        <c:noMultiLvlLbl val="0"/>
      </c:catAx>
      <c:valAx>
        <c:axId val="1783895039"/>
        <c:scaling>
          <c:orientation val="minMax"/>
          <c:max val="18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Wolf</a:t>
                </a:r>
                <a:r>
                  <a:rPr lang="en-US" baseline="0"/>
                  <a:t> 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3894079"/>
        <c:crosses val="autoZero"/>
        <c:crossBetween val="between"/>
      </c:valAx>
      <c:valAx>
        <c:axId val="1761541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a:t>
                </a:r>
                <a:r>
                  <a:rPr lang="en-US" baseline="0"/>
                  <a:t> elk count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1519743"/>
        <c:crosses val="max"/>
        <c:crossBetween val="between"/>
      </c:valAx>
      <c:catAx>
        <c:axId val="1761519743"/>
        <c:scaling>
          <c:orientation val="minMax"/>
        </c:scaling>
        <c:delete val="1"/>
        <c:axPos val="b"/>
        <c:numFmt formatCode="General" sourceLinked="1"/>
        <c:majorTickMark val="out"/>
        <c:minorTickMark val="none"/>
        <c:tickLblPos val="nextTo"/>
        <c:crossAx val="1761541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Keeney</dc:creator>
  <cp:keywords/>
  <dc:description/>
  <cp:lastModifiedBy>Shannon Keeney</cp:lastModifiedBy>
  <cp:revision>5</cp:revision>
  <dcterms:created xsi:type="dcterms:W3CDTF">2025-12-12T05:47:00Z</dcterms:created>
  <dcterms:modified xsi:type="dcterms:W3CDTF">2025-12-12T05:56:00Z</dcterms:modified>
</cp:coreProperties>
</file>