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Informe Legal</w:t>
      </w:r>
    </w:p>
    <w:p>
      <w:r>
        <w:t xml:space="preserve">Resumen ejecutivo del caso.</w:t>
      </w:r>
    </w:p>
    <w:p>
      <w:pPr>
        <w:pStyle w:val="Heading2"/>
      </w:pPr>
      <w:r>
        <w:t xml:space="preserve">Antecedentes</w:t>
      </w:r>
    </w:p>
    <w:p>
      <w:r>
        <w:t xml:space="preserve">El caso comenzó en el año 2024 con una disputa contractual.</w:t>
      </w:r>
    </w:p>
    <w:p>
      <w:pPr>
        <w:pStyle w:val="Heading2"/>
      </w:pPr>
      <w:r>
        <w:t xml:space="preserve">Análisis</w:t>
      </w:r>
    </w:p>
    <w:p>
      <w:r>
        <w:t xml:space="preserve">Se encontró que el contrato Q1 2026 tiene inconsistencias.</w:t>
      </w:r>
    </w:p>
    <w:p>
      <w:pPr>
        <w:pStyle w:val="Heading2"/>
      </w:pPr>
      <w:r>
        <w:t xml:space="preserve">Conclusiones</w:t>
      </w:r>
    </w:p>
    <w:p>
      <w:r>
        <w:t xml:space="preserve">Se recomienda renegociar los términos del contrato.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