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B89" w:rsidRDefault="00AE28B7" w:rsidP="00AE28B7">
      <w:pPr>
        <w:pStyle w:val="Title"/>
      </w:pPr>
      <w:r>
        <w:t>¿Y porque fue que se cayó la Ley Lleras 2.0?</w:t>
      </w:r>
    </w:p>
    <w:p w:rsidR="00AE28B7" w:rsidRDefault="00AE28B7">
      <w:r>
        <w:t xml:space="preserve">Hace ya dos meses, el pasado 23 de enero,</w:t>
      </w:r>
      <w:r w:rsidR="00AC33E5">
        <w:t>nos enteramos d</w:t>
      </w:r>
      <w:r>
        <w:t xml:space="preserve">el</w:t>
      </w:r>
      <w:r w:rsidR="00AC33E5">
        <w:rPr>
          <w:rStyle w:val="FootnoteReference"/>
        </w:rPr>
        <w:footnoteReference w:id="1"/>
      </w:r>
      <w:r>
        <w:t xml:space="preserve">de la Corte Constitucional donde se informaba que la Ley 1520 de 2012, mejor conocida como la “</w:t>
      </w:r>
      <w:r>
        <w:t>”</w:t>
      </w:r>
      <w:r w:rsidR="00AC33E5">
        <w:rPr>
          <w:rStyle w:val="FootnoteReference"/>
        </w:rPr>
        <w:footnoteReference w:id="2"/>
      </w:r>
      <w:r>
        <w:t xml:space="preserve">, era declarada inexequible. En el comunicado la Corte explico que se declaraba inexequible por vicios en el procedimiento, por tanto</w:t>
      </w:r>
      <w:r w:rsidR="00201C43">
        <w:t xml:space="preserve">el procedimiento no se acomodaba a lo establecido en la constitución y</w:t>
      </w:r>
      <w:r w:rsidR="00AC33E5">
        <w:t>s</w:t>
      </w:r>
      <w:r w:rsidR="00201C43">
        <w:t>e profería tal decisión.</w:t>
      </w:r>
      <w:hyperlink r:id="rId7" w:history="1">
        <w:r w:rsidRPr="00ED21C3">
          <w:rPr>
            <w:rStyle w:val="Hyperlink"/>
          </w:rPr>
          <w:t>comunicado</w:t>
        </w:r>
      </w:hyperlink>
      <w:hyperlink r:id="rId8" w:history="1">
        <w:r w:rsidRPr="00ED21C3">
          <w:rPr>
            <w:rStyle w:val="Hyperlink"/>
          </w:rPr>
          <w:t>Ley Lleras 2.0</w:t>
        </w:r>
      </w:hyperlink>
    </w:p>
    <w:p w:rsidR="001F3AEC" w:rsidRDefault="00345E7F" w:rsidP="001F3AEC">
      <w:r>
        <w:t xml:space="preserve">Aunque supiéramos que la sentencia declaraba inexequible la Ley, no</w:t>
      </w:r>
      <w:r w:rsidR="0053196F">
        <w:t>se conocía</w:t>
      </w:r>
      <w:r>
        <w:t xml:space="preserve">el pronunciamiento completo de la corte ni los argumentos, a favor o en contra, en las intervenciones que se dan en el proceso de demanda de</w:t>
      </w:r>
      <w:r w:rsidR="00AC33E5">
        <w:t xml:space="preserve">constitucionalidad. Hace ya algunos unos días está disponible el texto de la sentencia</w:t>
      </w:r>
      <w:r w:rsidR="00AC33E5">
        <w:rPr>
          <w:rStyle w:val="FootnoteReference"/>
        </w:rPr>
        <w:footnoteReference w:id="3"/>
      </w:r>
      <w:r w:rsidR="00AC33E5">
        <w:t xml:space="preserve">,</w:t>
      </w:r>
      <w:r w:rsidR="001F3AEC">
        <w:t>por lo que con el fallo en la mano podemos conocer el fondo del asunto que tuvo como resultado el declaratoria de inexequibilidad de la Ley.</w:t>
      </w:r>
      <w:hyperlink r:id="rId9" w:history="1">
        <w:r w:rsidR="00AC33E5" w:rsidRPr="00ED21C3">
          <w:rPr>
            <w:rStyle w:val="Hyperlink"/>
          </w:rPr>
          <w:t>C-011 de 2013</w:t>
        </w:r>
      </w:hyperlink>
    </w:p>
    <w:p w:rsidR="001F3AEC" w:rsidRDefault="004B3A08" w:rsidP="001F3AEC">
      <w:pPr>
        <w:pStyle w:val="Normal"/>
      </w:pPr>
      <w:r>
        <w:t>¿Cómo que</w:t>
      </w:r>
      <w:r w:rsidR="001F3AEC">
        <w:t xml:space="preserve">inexequibilidad?</w:t>
      </w:r>
    </w:p>
    <w:p w:rsidR="0053196F" w:rsidRDefault="001F3AEC" w:rsidP="0053196F">
      <w:r>
        <w:t>Es común escuchar el término “</w:t>
      </w:r>
      <w:r>
        <w:t>exequibilidad</w:t>
      </w:r>
      <w:r>
        <w:t xml:space="preserve">”, “exequible”, “inexequible” o “inexequibilidad”, nos llega en las noticias sobre esto</w:t>
      </w:r>
      <w:r w:rsidR="0053196F">
        <w:t>y</w:t>
      </w:r>
      <w:r>
        <w:t xml:space="preserve">aquello, pero ¿de qué se tratan realmente</w:t>
      </w:r>
      <w:r>
        <w:t>?.</w:t>
      </w:r>
      <w:r>
        <w:t xml:space="preserve">Siguiendo el cliché,</w:t>
      </w:r>
      <w:r w:rsidR="0053196F">
        <w:t xml:space="preserve">la Real Academia de la Lengua define inexequible como: “[…]</w:t>
      </w:r>
      <w:r w:rsidR="0053196F">
        <w:t>adj</w:t>
      </w:r>
      <w:r w:rsidR="0053196F">
        <w:t>. No exequible; que no se puede hacer, conseguir o llevar a efecto.”</w:t>
      </w:r>
      <w:r w:rsidR="00584A23">
        <w:t>, y ciertamente</w:t>
      </w:r>
      <w:r w:rsidR="0053196F">
        <w:t>, cuando una ley es declarada inexequible se trata de dejarla sin</w:t>
      </w:r>
      <w:r w:rsidR="00584A23">
        <w:t xml:space="preserve">efecto</w:t>
      </w:r>
      <w:r w:rsidR="0053196F">
        <w:t>. Pero a pesar de la simpleza de la anterior definición la realidad es un poco más complicada.</w:t>
      </w:r>
      <w:proofErr w:type="spellStart"/>
      <w:proofErr w:type="spellEnd"/>
      <w:proofErr w:type="gramStart"/>
      <w:proofErr w:type="gramEnd"/>
      <w:proofErr w:type="spellStart"/>
      <w:proofErr w:type="spellEnd"/>
    </w:p>
    <w:p w:rsidR="0053196F" w:rsidRDefault="0053196F" w:rsidP="0053196F">
      <w:r>
        <w:t xml:space="preserve">Cuando una norma es revisada por la Corte Constitucional en una</w:t>
      </w:r>
      <w:r w:rsidRPr="0053196F">
        <w:t>acción pública de inconstitucionalidad</w:t>
      </w:r>
      <w:r>
        <w:rPr>
          <w:i/>
        </w:rPr>
        <w:t xml:space="preserve"/>
      </w:r>
      <w:r>
        <w:t xml:space="preserve">o</w:t>
      </w:r>
      <w:r>
        <w:t>por</w:t>
      </w:r>
      <w:r>
        <w:t xml:space="preserve">el control previo de constitucionalidad que la corte ejerce</w:t>
      </w:r>
      <w:r w:rsidR="00836348">
        <w:t>en ciertos casos</w:t>
      </w:r>
      <w:r>
        <w:t>, puede ser declarada exequible, parcialmente inexequible, o inexequible. Cada uno de éstos resultados precisa una consecuencia diferente</w:t>
      </w:r>
      <w:r w:rsidR="00836348">
        <w:t>, en el primero, como es obvio, significa que la disposición producirá efectos, bien la corte se pronuncia sobre la correcta adecuación de lo establecido a la constitución. Cuando una norma es declarada parcialmente inexequible es porque la corte declara una parte de la norma revisada como contraria a las disposiciones de la constitución, pero que en todo caso no afecta la totalidad de la norma, por lo tanto las disposiciones sobrevivientes continuarán</w:t>
      </w:r>
      <w:r w:rsidR="00584A23">
        <w:t xml:space="preserve">surtiendo efecto</w:t>
      </w:r>
      <w:r w:rsidR="00836348">
        <w:t>. En el caso de las normas declaradas inexequibles evidentemente la norma quedará sin efecto alguno, y para el momento de la declaratoria de inexequibilidad, o según las condiciones de la corte, las cosas volverán al estado anterior.</w:t>
      </w:r>
      <w:proofErr w:type="gramStart"/>
      <w:proofErr w:type="gramEnd"/>
    </w:p>
    <w:p w:rsidR="00836348" w:rsidRDefault="004B3A08" w:rsidP="0053196F">
      <w:r>
        <w:t>Ahora, una disposición o norma puede declararse inexequiblemente por dos razones, por motivos de fondo o por asuntos de forma, es decir, porque el asunto que regula la norma no se ajusta a las disposiciones de la Constitución, o porque el procedimiento requerido para la formación de la norma no fue el correcto.</w:t>
      </w:r>
    </w:p>
    <w:p w:rsidR="004B3A08" w:rsidRDefault="00C323AF" w:rsidP="00C323AF">
      <w:pPr>
        <w:pStyle w:val="Heading1"/>
      </w:pPr>
      <w:r>
        <w:lastRenderedPageBreak/>
        <w:t>La Ley Lleras 2.0</w:t>
      </w:r>
    </w:p>
    <w:p w:rsidR="00ED21C3" w:rsidRDefault="00ED21C3" w:rsidP="0053196F">
      <w:r>
        <w:t>La “Ley Lleras 2.0” fue un su momento todo un espectáculo en Internet, los medios tradicionales, y en la calle, pero la verdad es que sobre su contenido el público general no tenía (o tiene) mucha idea, a pesar de que su historia ha sido toda una novela desde la presentación del proyecto en la cámara, hasta la sentencia de la Corte Constitucional.</w:t>
      </w:r>
    </w:p>
    <w:p w:rsidR="00C323AF" w:rsidRPr="001F3AEC" w:rsidRDefault="00ED21C3" w:rsidP="0053196F">
      <w:r>
        <w:t>La Ley 1520 de 2012</w:t>
      </w:r>
      <w:r w:rsidR="00135F2F">
        <w:t xml:space="preserve">fue el resultado de parte de las obligaciones que surgieron con la suscripción del</w:t>
      </w:r>
      <w:r w:rsidR="00135F2F">
        <w:t xml:space="preserve">suscrito entre Colombia y los Estados Unidos. El Capítulo 16 del TLC, sobre Propiedad Intelectual, establece que hay ciertas obligaciones que se imponen a las partes en virtud del tratado,</w:t>
      </w:r>
      <w:hyperlink r:id="rId10" w:history="1">
        <w:r w:rsidR="00135F2F" w:rsidRPr="00135F2F">
          <w:rPr>
            <w:rStyle w:val="Hyperlink"/>
          </w:rPr>
          <w:t>Tratado de Libre Comercio</w:t>
        </w:r>
      </w:hyperlink>
      <w:bookmarkStart w:id="0" w:name="_GoBack"/>
      <w:bookmarkEnd w:id="0"/>
    </w:p>
    <w:sectPr w:rsidR="00C323AF" w:rsidRPr="001F3A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76B" w:rsidRDefault="0087376B" w:rsidP="00AC33E5">
      <w:pPr>
        <w:spacing w:after="0" w:line="240" w:lineRule="auto"/>
      </w:pPr>
      <w:r>
        <w:separator/>
      </w:r>
    </w:p>
  </w:endnote>
  <w:endnote w:type="continuationSeparator" w:id="0">
    <w:p w:rsidR="0087376B" w:rsidRDefault="0087376B" w:rsidP="00AC3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76B" w:rsidRDefault="0087376B" w:rsidP="00AC33E5">
      <w:pPr>
        <w:spacing w:after="0" w:line="240" w:lineRule="auto"/>
      </w:pPr>
      <w:r>
        <w:separator/>
      </w:r>
    </w:p>
  </w:footnote>
  <w:footnote w:type="continuationSeparator" w:id="0">
    <w:p w:rsidR="0087376B" w:rsidRDefault="0087376B" w:rsidP="00AC33E5">
      <w:pPr>
        <w:spacing w:after="0" w:line="240" w:lineRule="auto"/>
      </w:pPr>
      <w:r>
        <w:continuationSeparator/>
      </w:r>
    </w:p>
  </w:footnote>
  <w:footnote w:id="1">
    <w:p w:rsidR="00AC33E5" w:rsidRPr="00AC33E5" w:rsidRDefault="00AC33E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AC33E5">
        <w:t>http://www.corteconstitucional.gov.co/comunicados/No.%2001%20comunicado%2023%20de%20enero%20de%202013.pdf</w:t>
      </w:r>
    </w:p>
  </w:footnote>
  <w:footnote w:id="2">
    <w:p w:rsidR="00AC33E5" w:rsidRPr="00AC33E5" w:rsidRDefault="00AC33E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AC33E5">
        <w:rPr>
          <w:lang w:val="en-US"/>
        </w:rPr>
        <w:t xml:space="preserve"> http://es.wikipedia.org/wiki/Ley_Lleras</w:t>
      </w:r>
    </w:p>
  </w:footnote>
  <w:footnote w:id="3">
    <w:p w:rsidR="00AC33E5" w:rsidRPr="00AC33E5" w:rsidRDefault="00AC33E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AC33E5">
        <w:rPr>
          <w:lang w:val="en-US"/>
        </w:rPr>
        <w:t xml:space="preserve"> http://www.corteconstitucional.gov.co/relatoria/2013/C-011-13.htm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8B7"/>
    <w:rsid w:val="00135F2F"/>
    <w:rsid w:val="001F3AEC"/>
    <w:rsid w:val="00201C43"/>
    <w:rsid w:val="00345E7F"/>
    <w:rsid w:val="004B3A08"/>
    <w:rsid w:val="004F072C"/>
    <w:rsid w:val="0053196F"/>
    <w:rsid w:val="00584A23"/>
    <w:rsid w:val="00836348"/>
    <w:rsid w:val="0087376B"/>
    <w:rsid w:val="00AC33E5"/>
    <w:rsid w:val="00AC4108"/>
    <w:rsid w:val="00AE28B7"/>
    <w:rsid w:val="00B279A8"/>
    <w:rsid w:val="00B741F5"/>
    <w:rsid w:val="00C10B89"/>
    <w:rsid w:val="00C323AF"/>
    <w:rsid w:val="00ED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3CC1B19-3D3D-47CA-9CB0-3B034F34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O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1C3"/>
    <w:pPr>
      <w:jc w:val="both"/>
    </w:pPr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AEC"/>
    <w:pPr>
      <w:keepNext/>
      <w:keepLines/>
      <w:spacing w:before="320" w:after="80" w:line="240" w:lineRule="auto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8B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8B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8B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8B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8B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8B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8B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EC"/>
    <w:rPr>
      <w:rFonts w:asciiTheme="majorHAnsi" w:eastAsiaTheme="majorEastAsia" w:hAnsiTheme="majorHAnsi" w:cstheme="majorBidi"/>
      <w:color w:val="7F7F7F" w:themeColor="text1" w:themeTint="8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8B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8B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8B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8B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8B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8B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8B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8B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28B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E28B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3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E28B7"/>
    <w:rPr>
      <w:rFonts w:asciiTheme="majorHAnsi" w:eastAsiaTheme="majorEastAsia" w:hAnsiTheme="majorHAnsi" w:cstheme="majorBidi"/>
      <w:caps/>
      <w:color w:val="44546A" w:themeColor="text2"/>
      <w:spacing w:val="30"/>
      <w:sz w:val="36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8B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8B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E28B7"/>
    <w:rPr>
      <w:b/>
      <w:bCs/>
    </w:rPr>
  </w:style>
  <w:style w:type="character" w:styleId="Emphasis">
    <w:name w:val="Emphasis"/>
    <w:basedOn w:val="DefaultParagraphFont"/>
    <w:uiPriority w:val="20"/>
    <w:qFormat/>
    <w:rsid w:val="00AE28B7"/>
    <w:rPr>
      <w:i/>
      <w:iCs/>
      <w:color w:val="000000" w:themeColor="text1"/>
    </w:rPr>
  </w:style>
  <w:style w:type="paragraph" w:styleId="NoSpacing">
    <w:name w:val="No Spacing"/>
    <w:uiPriority w:val="1"/>
    <w:qFormat/>
    <w:rsid w:val="00AE28B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E28B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E28B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8B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8B7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E28B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E28B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E28B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E28B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E28B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28B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C3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3E5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rsid w:val="00AC3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3E5"/>
    <w:rPr>
      <w:color w:val="595959" w:themeColor="text1" w:themeTint="A6"/>
    </w:rPr>
  </w:style>
  <w:style w:type="character" w:styleId="CommentReference">
    <w:name w:val="annotation reference"/>
    <w:basedOn w:val="DefaultParagraphFont"/>
    <w:uiPriority w:val="99"/>
    <w:semiHidden/>
    <w:unhideWhenUsed/>
    <w:rsid w:val="00AC33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33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33E5"/>
    <w:rPr>
      <w:color w:val="595959" w:themeColor="text1" w:themeTint="A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3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33E5"/>
    <w:rPr>
      <w:b/>
      <w:bCs/>
      <w:color w:val="595959" w:themeColor="text1" w:themeTint="A6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3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3E5"/>
    <w:rPr>
      <w:rFonts w:ascii="Segoe UI" w:hAnsi="Segoe UI" w:cs="Segoe UI"/>
      <w:color w:val="595959" w:themeColor="text1" w:themeTint="A6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C33E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C33E5"/>
    <w:rPr>
      <w:color w:val="595959" w:themeColor="text1" w:themeTint="A6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C33E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33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33E5"/>
    <w:rPr>
      <w:color w:val="595959" w:themeColor="text1" w:themeTint="A6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33E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D21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Ley_Llera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rteconstitucional.gov.co/comunicados/No.%2001%20comunicado%2023%20de%20enero%20de%202013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es.wikipedia.org/wiki/Tratado_de_Libre_Comercio_entre_Colombia_y_Estados_Unid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rteconstitucional.gov.co/relatoria/2013/C-011-1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61CA8EDD-66B9-4BA1-9A82-3B31D82CC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2</Pages>
  <Words>593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odanielgp</dc:creator>
  <cp:keywords/>
  <dc:description/>
  <cp:lastModifiedBy>odanielgp</cp:lastModifiedBy>
  <cp:revision>6</cp:revision>
  <dcterms:created xsi:type="dcterms:W3CDTF">2013-03-21T05:12:00Z</dcterms:created>
  <dcterms:modified xsi:type="dcterms:W3CDTF">2013-03-22T07:01:00Z</dcterms:modified>
</cp:coreProperties>
</file>