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78FB" w14:textId="73225CB5" w:rsidR="0071446F" w:rsidRPr="006C7003" w:rsidRDefault="0071446F" w:rsidP="006C7003">
      <w:pPr>
        <w:pStyle w:val="Subtitle"/>
        <w:rPr>
          <w:rStyle w:val="SubtleReference"/>
        </w:rPr>
      </w:pPr>
    </w:p>
    <w:p w14:paraId="084B8C2F" w14:textId="554DA770" w:rsidR="00432988" w:rsidRDefault="00432988" w:rsidP="00315BBC"/>
    <w:p w14:paraId="1F1D4EA7" w14:textId="77777777" w:rsidR="00432988" w:rsidRDefault="00432988" w:rsidP="00315BBC"/>
    <w:p w14:paraId="0ABACB52" w14:textId="3B16CABA" w:rsidR="00315BBC" w:rsidRDefault="00315BBC"/>
    <w:p w14:paraId="746C156A" w14:textId="717E6729" w:rsidR="00315BBC" w:rsidRDefault="00315BBC"/>
    <w:p w14:paraId="19488037" w14:textId="0D6B7C40" w:rsidR="00315BBC" w:rsidRDefault="00315BBC"/>
    <w:p w14:paraId="07D81F21" w14:textId="77777777" w:rsidR="00315BBC" w:rsidRPr="00315BBC" w:rsidRDefault="00315BBC" w:rsidP="00315BBC">
      <w:pPr>
        <w:jc w:val="center"/>
        <w:rPr>
          <w:b/>
          <w:sz w:val="72"/>
        </w:rPr>
      </w:pPr>
      <w:r w:rsidRPr="00315BBC">
        <w:rPr>
          <w:b/>
          <w:sz w:val="72"/>
        </w:rPr>
        <w:t>Configuration Review</w:t>
      </w:r>
    </w:p>
    <w:p w14:paraId="092EE193" w14:textId="77777777" w:rsidR="00315BBC" w:rsidRPr="00315BBC" w:rsidRDefault="00315BBC" w:rsidP="00315BBC">
      <w:pPr>
        <w:jc w:val="center"/>
        <w:rPr>
          <w:sz w:val="72"/>
        </w:rPr>
      </w:pPr>
      <w:r w:rsidRPr="00315BBC">
        <w:rPr>
          <w:sz w:val="72"/>
        </w:rPr>
        <w:t>For</w:t>
      </w:r>
    </w:p>
    <w:p w14:paraId="66907ACC" w14:textId="77777777" w:rsidR="00315BBC" w:rsidRPr="00315BBC" w:rsidRDefault="00315BBC" w:rsidP="00315BBC">
      <w:pPr>
        <w:jc w:val="center"/>
        <w:rPr>
          <w:b/>
          <w:sz w:val="72"/>
        </w:rPr>
      </w:pPr>
      <w:r w:rsidRPr="00315BBC">
        <w:rPr>
          <w:b/>
          <w:sz w:val="72"/>
        </w:rPr>
        <w:t>Customer</w:t>
      </w:r>
    </w:p>
    <w:p w14:paraId="41F473AA" w14:textId="77777777" w:rsidR="00315BBC" w:rsidRDefault="00315BBC" w:rsidP="00315BBC">
      <w:pPr>
        <w:jc w:val="center"/>
        <w:rPr>
          <w:b/>
          <w:sz w:val="28"/>
        </w:rPr>
      </w:pPr>
    </w:p>
    <w:p w14:paraId="36375CC4" w14:textId="797C007D" w:rsidR="00315BBC" w:rsidRDefault="00315BBC" w:rsidP="00315BBC">
      <w:pPr>
        <w:jc w:val="center"/>
        <w:rPr>
          <w:b/>
          <w:sz w:val="28"/>
        </w:rPr>
      </w:pPr>
    </w:p>
    <w:p w14:paraId="252BBAB7" w14:textId="19A6C956" w:rsidR="00432988" w:rsidRDefault="00432988" w:rsidP="00315BBC">
      <w:pPr>
        <w:jc w:val="center"/>
        <w:rPr>
          <w:b/>
          <w:sz w:val="28"/>
        </w:rPr>
      </w:pPr>
    </w:p>
    <w:p w14:paraId="2E86AD54" w14:textId="77777777" w:rsidR="00432988" w:rsidRDefault="00432988" w:rsidP="00315BBC">
      <w:pPr>
        <w:jc w:val="center"/>
        <w:rPr>
          <w:b/>
          <w:sz w:val="28"/>
        </w:rPr>
      </w:pPr>
    </w:p>
    <w:p w14:paraId="56EC4B3B" w14:textId="420EEA47" w:rsidR="00432988" w:rsidRDefault="00432988" w:rsidP="00315BBC">
      <w:pPr>
        <w:jc w:val="center"/>
        <w:rPr>
          <w:b/>
          <w:sz w:val="28"/>
        </w:rPr>
      </w:pPr>
    </w:p>
    <w:p w14:paraId="513E8972" w14:textId="77777777" w:rsidR="00432988" w:rsidRDefault="00432988" w:rsidP="00315BBC">
      <w:pPr>
        <w:jc w:val="center"/>
        <w:rPr>
          <w:b/>
          <w:sz w:val="28"/>
        </w:rPr>
      </w:pPr>
    </w:p>
    <w:p w14:paraId="6F8A548D" w14:textId="3F742124" w:rsidR="00315BBC" w:rsidRDefault="00432988" w:rsidP="00315BBC">
      <w:pPr>
        <w:jc w:val="center"/>
        <w:rPr>
          <w:b/>
          <w:sz w:val="28"/>
        </w:rPr>
      </w:pPr>
      <w:r>
        <w:rPr>
          <w:b/>
          <w:sz w:val="28"/>
        </w:rPr>
        <w:t>“Location”</w:t>
      </w:r>
    </w:p>
    <w:p w14:paraId="39792FB7" w14:textId="79284396" w:rsidR="00315BBC" w:rsidRDefault="00315BBC" w:rsidP="00315BBC">
      <w:pPr>
        <w:jc w:val="center"/>
        <w:rPr>
          <w:b/>
          <w:sz w:val="28"/>
        </w:rPr>
      </w:pPr>
    </w:p>
    <w:p w14:paraId="18B5D5F8" w14:textId="12DE43F8" w:rsidR="00315BBC" w:rsidRDefault="00315BBC" w:rsidP="00315BBC">
      <w:pPr>
        <w:jc w:val="center"/>
        <w:rPr>
          <w:b/>
          <w:sz w:val="28"/>
        </w:rPr>
      </w:pPr>
    </w:p>
    <w:p w14:paraId="73E22F66" w14:textId="572F6539" w:rsidR="00315BBC" w:rsidRDefault="00315BBC" w:rsidP="00315BBC">
      <w:pPr>
        <w:jc w:val="center"/>
        <w:rPr>
          <w:b/>
          <w:sz w:val="28"/>
        </w:rPr>
      </w:pPr>
      <w:r>
        <w:rPr>
          <w:b/>
          <w:sz w:val="28"/>
        </w:rPr>
        <w:br/>
      </w:r>
    </w:p>
    <w:p w14:paraId="504B23A2" w14:textId="65283878" w:rsidR="00315BBC" w:rsidRDefault="00315BBC" w:rsidP="00315BBC">
      <w:pPr>
        <w:jc w:val="center"/>
        <w:rPr>
          <w:b/>
          <w:sz w:val="28"/>
        </w:rPr>
      </w:pPr>
    </w:p>
    <w:p w14:paraId="530B3DFE" w14:textId="77777777" w:rsidR="00432988" w:rsidRDefault="00432988" w:rsidP="00315BBC">
      <w:pPr>
        <w:jc w:val="center"/>
        <w:rPr>
          <w:b/>
          <w:sz w:val="28"/>
        </w:rPr>
      </w:pPr>
    </w:p>
    <w:p w14:paraId="1ADA973E" w14:textId="672BCA94" w:rsidR="00315BBC" w:rsidRDefault="00315BBC" w:rsidP="00315BBC">
      <w:pPr>
        <w:jc w:val="center"/>
        <w:rPr>
          <w:b/>
          <w:sz w:val="28"/>
        </w:rPr>
      </w:pPr>
    </w:p>
    <w:p w14:paraId="16078CC0" w14:textId="3AAF5454" w:rsidR="00432988" w:rsidRDefault="00432988" w:rsidP="00315BBC">
      <w:pPr>
        <w:jc w:val="center"/>
        <w:rPr>
          <w:b/>
          <w:sz w:val="28"/>
        </w:rPr>
      </w:pPr>
    </w:p>
    <w:p w14:paraId="7342E54B" w14:textId="686352B9" w:rsidR="00432988" w:rsidRDefault="00432988" w:rsidP="00315BBC">
      <w:pPr>
        <w:jc w:val="center"/>
        <w:rPr>
          <w:b/>
          <w:sz w:val="28"/>
        </w:rPr>
      </w:pPr>
    </w:p>
    <w:p w14:paraId="45697360" w14:textId="77777777" w:rsidR="00432988" w:rsidRDefault="00432988" w:rsidP="00315BBC">
      <w:pPr>
        <w:jc w:val="center"/>
        <w:rPr>
          <w:b/>
          <w:sz w:val="28"/>
        </w:rPr>
      </w:pPr>
    </w:p>
    <w:p w14:paraId="2D331321" w14:textId="1B719456" w:rsidR="00315BBC" w:rsidRPr="00315BBC" w:rsidRDefault="00315BBC" w:rsidP="00315BBC">
      <w:pPr>
        <w:rPr>
          <w:sz w:val="16"/>
        </w:rPr>
      </w:pPr>
    </w:p>
    <w:p w14:paraId="2188DC60" w14:textId="1E9405F6" w:rsidR="00315BBC" w:rsidRPr="00315BBC" w:rsidRDefault="00315BBC" w:rsidP="00315BBC">
      <w:pPr>
        <w:rPr>
          <w:sz w:val="16"/>
        </w:rPr>
      </w:pPr>
      <w:r w:rsidRPr="00315BBC">
        <w:rPr>
          <w:sz w:val="16"/>
        </w:rPr>
        <w:t xml:space="preserve">Copyright of F5 Networks </w:t>
      </w:r>
      <w:r w:rsidR="00F4718F">
        <w:rPr>
          <w:sz w:val="16"/>
        </w:rPr>
        <w:t>2026</w:t>
      </w:r>
      <w:r w:rsidRPr="00315BBC">
        <w:rPr>
          <w:sz w:val="16"/>
        </w:rPr>
        <w:t>. All rights reserved</w:t>
      </w:r>
    </w:p>
    <w:p w14:paraId="3DBFCBB7" w14:textId="1ECF4C62" w:rsidR="002C481A" w:rsidRDefault="00315BBC" w:rsidP="00B401DE">
      <w:pPr>
        <w:rPr>
          <w:sz w:val="16"/>
        </w:rPr>
      </w:pPr>
      <w:r w:rsidRPr="00315BBC">
        <w:rPr>
          <w:sz w:val="16"/>
        </w:rPr>
        <w:t>Copyright in this work is vested in F5 Networks and the information contained herein is confidential.  This work (either in whole or in part) must not be modified, reproduced, disclosed or disseminated to others or used for purposes other than that for which it is supplied, without the prior written permission of F5 Networks.  If this work or any part hereof is furnished to a third party by virtue of a contract with that party, use of this work by such party shall be governed by the express contractual terms between the F5 Networks company which is a party to that contract and the said party</w:t>
      </w:r>
    </w:p>
    <w:sdt>
      <w:sdtPr>
        <w:rPr>
          <w:rFonts w:eastAsiaTheme="minorEastAsia" w:cstheme="minorBidi"/>
          <w:b w:val="0"/>
          <w:bCs w:val="0"/>
          <w:color w:val="auto"/>
          <w:sz w:val="20"/>
          <w:szCs w:val="22"/>
        </w:rPr>
        <w:id w:val="-805009506"/>
        <w:docPartObj>
          <w:docPartGallery w:val="Table of Contents"/>
          <w:docPartUnique/>
        </w:docPartObj>
      </w:sdtPr>
      <w:sdtEndPr>
        <w:rPr>
          <w:noProof/>
        </w:rPr>
      </w:sdtEndPr>
      <w:sdtContent>
        <w:p w14:paraId="6E3F6B38" w14:textId="4C69E5C6" w:rsidR="002C481A" w:rsidRDefault="002C481A" w:rsidP="002C481A">
          <w:pPr>
            <w:pStyle w:val="Heading1"/>
          </w:pPr>
          <w:r>
            <w:t>Contents</w:t>
          </w:r>
        </w:p>
        <w:p w14:paraId="2DA539CD" w14:textId="03606A2E" w:rsidR="00B809CA" w:rsidRPr="006C7003" w:rsidRDefault="002C481A" w:rsidP="000020CC">
          <w:pPr>
            <w:rPr>
              <w:rStyle w:val="SubtleEmphasis"/>
              <w:i w:val="0"/>
              <w:iCs w:val="0"/>
              <w:noProof/>
              <w:color w:val="auto"/>
            </w:rPr>
          </w:pPr>
          <w:r>
            <w:rPr>
              <w:b/>
              <w:bCs/>
              <w:noProof/>
            </w:rPr>
            <w:fldChar w:fldCharType="begin"/>
          </w:r>
          <w:r>
            <w:rPr>
              <w:b/>
              <w:bCs/>
              <w:noProof/>
            </w:rPr>
            <w:instrText xml:space="preserve"> TOC \o "1-3" \h \z \u </w:instrText>
          </w:r>
          <w:r>
            <w:rPr>
              <w:b/>
              <w:bCs/>
              <w:noProof/>
            </w:rPr>
            <w:fldChar w:fldCharType="separate"/>
          </w:r>
          <w:r>
            <w:rPr>
              <w:noProof/>
            </w:rPr>
            <w:t>No table of contents entries found.</w:t>
          </w:r>
          <w:r>
            <w:rPr>
              <w:b/>
              <w:bCs/>
              <w:noProof/>
            </w:rPr>
            <w:fldChar w:fldCharType="end"/>
          </w:r>
        </w:p>
      </w:sdtContent>
    </w:sdt>
    <w:p>
      <w:pPr>
        <w:pStyle w:val="Heading1"/>
      </w:pPr>
      <w:r>
        <w:t>F5 ASM Configuration Review - basic_waf_policy</w:t>
      </w:r>
    </w:p>
    <w:p>
      <w:r>
        <w:t>Report date: 2025-12-27</w:t>
      </w:r>
    </w:p>
    <w:p>
      <w:r>
        <w:t>During the meetings with "Kostas" and the configuration reviews performed on the F5 BIG-IP ASM policies, we documented our observations and recommendations in this report.</w:t>
      </w:r>
    </w:p>
    <w:p>
      <w:r>
        <w:t>This document presents the findings of the F5 BIG-IP Application Security Manager (ASM) configuration review performed for the application "basic_waf_policy". The purpose of this review is to assess the current web application firewall policies, identify potential gaps, and verify alignment with F5 recommended practices and common security standards.</w:t>
      </w:r>
    </w:p>
    <w:p>
      <w:r>
        <w:t>The focus of this review is on the security policy configuration, including signature usage, protocol and evasion checks, cookie and parameter protection, URL handling, brute-force protection, IP reputation, and related security controls. The goal is to highlight areas where the current configuration may allow unnecessary risk, be overly permissive, or require tuning to better balance security with application behaviour.</w:t>
      </w:r>
    </w:p>
    <w:p>
      <w:r>
        <w:t>This report does not evaluate the internal functionality of the protected applications, but rather how ASM is configured to protect them. The recommendations are intended to help improve the security posture, reduce the likelihood of successful attacks, and simplify ongoing operations.</w:t>
      </w:r>
    </w:p>
    <w:p/>
    <w:p/>
    <w:p>
      <w:pPr>
        <w:pStyle w:val="Heading2"/>
      </w:pPr>
      <w:r>
        <w:t>Policy Overview</w:t>
      </w:r>
    </w:p>
    <w:p>
      <w:r>
        <w:t>The table below provides a high-level summary of the ASM policy configuration that was reviewed.</w:t>
      </w:r>
    </w:p>
    <w:tbl>
      <w:tblPr>
        <w:tblStyle w:val="TableGrid"/>
        <w:tblW w:type="auto" w:w="0"/>
        <w:tblLook w:firstColumn="1" w:firstRow="1" w:lastColumn="0" w:lastRow="0" w:noHBand="0" w:noVBand="1" w:val="04A0"/>
      </w:tblPr>
      <w:tblGrid>
        <w:gridCol w:w="5032"/>
        <w:gridCol w:w="5032"/>
      </w:tblGrid>
      <w:tr>
        <w:tc>
          <w:tcPr>
            <w:tcW w:type="dxa" w:w="10064"/>
            <w:gridSpan w:val="2"/>
          </w:tcPr>
          <w:p>
            <w:r>
              <w:t>Policy Details</w:t>
            </w:r>
          </w:p>
        </w:tc>
      </w:tr>
      <w:tr>
        <w:tc>
          <w:tcPr>
            <w:tcW w:type="dxa" w:w="5032"/>
          </w:tcPr>
          <w:p>
            <w:r>
              <w:t>Policy Name</w:t>
            </w:r>
          </w:p>
        </w:tc>
        <w:tc>
          <w:tcPr>
            <w:tcW w:type="dxa" w:w="5032"/>
          </w:tcPr>
          <w:p>
            <w:r>
              <w:t>basic_waf_policy</w:t>
            </w:r>
          </w:p>
        </w:tc>
      </w:tr>
      <w:tr>
        <w:tc>
          <w:tcPr>
            <w:tcW w:type="dxa" w:w="5032"/>
          </w:tcPr>
          <w:p>
            <w:r>
              <w:t>Enforcement Mode</w:t>
            </w:r>
          </w:p>
        </w:tc>
        <w:tc>
          <w:tcPr>
            <w:tcW w:type="dxa" w:w="5032"/>
          </w:tcPr>
          <w:p>
            <w:r>
              <w:t>Blocking</w:t>
            </w:r>
          </w:p>
        </w:tc>
      </w:tr>
      <w:tr>
        <w:tc>
          <w:tcPr>
            <w:tcW w:type="dxa" w:w="5032"/>
          </w:tcPr>
          <w:p>
            <w:r>
              <w:t>Application Language</w:t>
            </w:r>
          </w:p>
        </w:tc>
        <w:tc>
          <w:tcPr>
            <w:tcW w:type="dxa" w:w="5032"/>
          </w:tcPr>
          <w:p>
            <w:r>
              <w:t>utf-8</w:t>
            </w:r>
          </w:p>
        </w:tc>
      </w:tr>
      <w:tr>
        <w:tc>
          <w:tcPr>
            <w:tcW w:type="dxa" w:w="5032"/>
          </w:tcPr>
          <w:p>
            <w:r>
              <w:t>Mask credit card numbers in requests</w:t>
            </w:r>
          </w:p>
        </w:tc>
        <w:tc>
          <w:tcPr>
            <w:tcW w:type="dxa" w:w="5032"/>
          </w:tcPr>
          <w:p>
            <w:r>
              <w:t>Enabled</w:t>
            </w:r>
          </w:p>
        </w:tc>
      </w:tr>
      <w:tr>
        <w:tc>
          <w:tcPr>
            <w:tcW w:type="dxa" w:w="5032"/>
          </w:tcPr>
          <w:p>
            <w:r>
              <w:t>Place New/Updated Signatures in Staging</w:t>
            </w:r>
          </w:p>
        </w:tc>
        <w:tc>
          <w:tcPr>
            <w:tcW w:type="dxa" w:w="5032"/>
          </w:tcPr>
          <w:p>
            <w:r>
              <w:t>Disabled</w:t>
            </w:r>
          </w:p>
        </w:tc>
      </w:tr>
      <w:tr>
        <w:tc>
          <w:tcPr>
            <w:tcW w:type="dxa" w:w="5032"/>
          </w:tcPr>
          <w:p>
            <w:r>
              <w:t>Minimum Accuracy for Auto-Added Signatures</w:t>
            </w:r>
          </w:p>
        </w:tc>
        <w:tc>
          <w:tcPr>
            <w:tcW w:type="dxa" w:w="5032"/>
          </w:tcPr>
          <w:p>
            <w:r>
              <w:t>medium</w:t>
            </w:r>
          </w:p>
        </w:tc>
      </w:tr>
      <w:tr>
        <w:tc>
          <w:tcPr>
            <w:tcW w:type="dxa" w:w="5032"/>
          </w:tcPr>
          <w:p>
            <w:r>
              <w:t>Trust X-Forwarded-For Header</w:t>
            </w:r>
          </w:p>
        </w:tc>
        <w:tc>
          <w:tcPr>
            <w:tcW w:type="dxa" w:w="5032"/>
          </w:tcPr>
          <w:p>
            <w:r>
              <w:t>Disabled</w:t>
            </w:r>
          </w:p>
        </w:tc>
      </w:tr>
      <w:tr>
        <w:tc>
          <w:tcPr>
            <w:tcW w:type="dxa" w:w="5032"/>
          </w:tcPr>
          <w:p>
            <w:r>
              <w:t>Enforcement Period</w:t>
            </w:r>
          </w:p>
        </w:tc>
        <w:tc>
          <w:tcPr>
            <w:tcW w:type="dxa" w:w="5032"/>
          </w:tcPr>
          <w:p>
            <w:r>
              <w:t>7</w:t>
            </w:r>
          </w:p>
        </w:tc>
      </w:tr>
      <w:tr>
        <w:tc>
          <w:tcPr>
            <w:tcW w:type="dxa" w:w="5032"/>
          </w:tcPr>
          <w:p>
            <w:r>
              <w:t>Trust all IPs in Policy Builder</w:t>
            </w:r>
          </w:p>
        </w:tc>
        <w:tc>
          <w:tcPr>
            <w:tcW w:type="dxa" w:w="5032"/>
          </w:tcPr>
          <w:p>
            <w:r>
              <w:t>Yes</w:t>
            </w:r>
          </w:p>
        </w:tc>
      </w:tr>
    </w:tbl>
    <w:tbl>
      <w:tblPr>
        <w:tblStyle w:val="TableGrid"/>
        <w:tblW w:type="auto" w:w="0"/>
        <w:tblLook w:firstColumn="1" w:firstRow="1" w:lastColumn="0" w:lastRow="0" w:noHBand="0" w:noVBand="1" w:val="04A0"/>
      </w:tblPr>
      <w:tblGrid>
        <w:gridCol w:w="3355"/>
        <w:gridCol w:w="3355"/>
        <w:gridCol w:w="3355"/>
      </w:tblGrid>
      <w:tr>
        <w:tc>
          <w:tcPr>
            <w:tcW w:type="dxa" w:w="3355"/>
          </w:tcPr>
          <w:p>
            <w:r>
              <w:rPr>
                <w:b/>
              </w:rPr>
              <w:t>Entities</w:t>
            </w:r>
          </w:p>
        </w:tc>
        <w:tc>
          <w:tcPr>
            <w:tcW w:type="dxa" w:w="3355"/>
          </w:tcPr>
          <w:p>
            <w:r>
              <w:rPr>
                <w:b/>
              </w:rPr>
              <w:t>Total Configured</w:t>
            </w:r>
          </w:p>
        </w:tc>
        <w:tc>
          <w:tcPr>
            <w:tcW w:type="dxa" w:w="3355"/>
          </w:tcPr>
          <w:p>
            <w:r>
              <w:rPr>
                <w:b/>
              </w:rPr>
              <w:t>Not Enforced (Staging)</w:t>
            </w:r>
          </w:p>
        </w:tc>
      </w:tr>
      <w:tr>
        <w:tc>
          <w:tcPr>
            <w:tcW w:type="dxa" w:w="3355"/>
          </w:tcPr>
          <w:p>
            <w:r>
              <w:t>File Types</w:t>
            </w:r>
          </w:p>
        </w:tc>
        <w:tc>
          <w:tcPr>
            <w:tcW w:type="dxa" w:w="3355"/>
          </w:tcPr>
          <w:p>
            <w:r>
              <w:t>1</w:t>
            </w:r>
          </w:p>
        </w:tc>
        <w:tc>
          <w:tcPr>
            <w:tcW w:type="dxa" w:w="3355"/>
          </w:tcPr>
          <w:p>
            <w:r>
              <w:t>0</w:t>
            </w:r>
          </w:p>
        </w:tc>
      </w:tr>
      <w:tr>
        <w:tc>
          <w:tcPr>
            <w:tcW w:type="dxa" w:w="3355"/>
          </w:tcPr>
          <w:p>
            <w:r>
              <w:t>URLs</w:t>
            </w:r>
          </w:p>
        </w:tc>
        <w:tc>
          <w:tcPr>
            <w:tcW w:type="dxa" w:w="3355"/>
          </w:tcPr>
          <w:p>
            <w:r>
              <w:t>2</w:t>
            </w:r>
          </w:p>
        </w:tc>
        <w:tc>
          <w:tcPr>
            <w:tcW w:type="dxa" w:w="3355"/>
          </w:tcPr>
          <w:p>
            <w:r>
              <w:t>0</w:t>
            </w:r>
          </w:p>
        </w:tc>
      </w:tr>
      <w:tr>
        <w:tc>
          <w:tcPr>
            <w:tcW w:type="dxa" w:w="3355"/>
          </w:tcPr>
          <w:p>
            <w:r>
              <w:t>Parameters</w:t>
            </w:r>
          </w:p>
        </w:tc>
        <w:tc>
          <w:tcPr>
            <w:tcW w:type="dxa" w:w="3355"/>
          </w:tcPr>
          <w:p>
            <w:r>
              <w:t>2</w:t>
            </w:r>
          </w:p>
        </w:tc>
        <w:tc>
          <w:tcPr>
            <w:tcW w:type="dxa" w:w="3355"/>
          </w:tcPr>
          <w:p>
            <w:r>
              <w:t>1</w:t>
            </w:r>
          </w:p>
        </w:tc>
      </w:tr>
      <w:tr>
        <w:tc>
          <w:tcPr>
            <w:tcW w:type="dxa" w:w="3355"/>
          </w:tcPr>
          <w:p>
            <w:r>
              <w:t>Signatures</w:t>
            </w:r>
          </w:p>
        </w:tc>
        <w:tc>
          <w:tcPr>
            <w:tcW w:type="dxa" w:w="3355"/>
          </w:tcPr>
          <w:p>
            <w:r>
              <w:t>0</w:t>
            </w:r>
          </w:p>
        </w:tc>
        <w:tc>
          <w:tcPr>
            <w:tcW w:type="dxa" w:w="3355"/>
          </w:tcPr>
          <w:p>
            <w:r>
              <w:t>Staging: 0 / Disabled: 0</w:t>
            </w:r>
          </w:p>
        </w:tc>
      </w:tr>
      <w:tr>
        <w:tc>
          <w:tcPr>
            <w:tcW w:type="dxa" w:w="3355"/>
          </w:tcPr>
          <w:p>
            <w:r>
              <w:t>Cookies</w:t>
            </w:r>
          </w:p>
        </w:tc>
        <w:tc>
          <w:tcPr>
            <w:tcW w:type="dxa" w:w="3355"/>
          </w:tcPr>
          <w:p>
            <w:r>
              <w:t>1</w:t>
            </w:r>
          </w:p>
        </w:tc>
        <w:tc>
          <w:tcPr>
            <w:tcW w:type="dxa" w:w="3355"/>
          </w:tcPr>
          <w:p>
            <w:r>
              <w:t>0</w:t>
            </w:r>
          </w:p>
        </w:tc>
      </w:tr>
      <w:tr>
        <w:tc>
          <w:tcPr>
            <w:tcW w:type="dxa" w:w="3355"/>
          </w:tcPr>
          <w:p>
            <w:r>
              <w:t>Headers</w:t>
            </w:r>
          </w:p>
        </w:tc>
        <w:tc>
          <w:tcPr>
            <w:tcW w:type="dxa" w:w="3355"/>
          </w:tcPr>
          <w:p>
            <w:r>
              <w:t>5</w:t>
            </w:r>
          </w:p>
        </w:tc>
        <w:tc>
          <w:tcPr>
            <w:tcW w:type="dxa" w:w="3355"/>
          </w:tcPr>
          <w:p>
            <w:r>
              <w:t>1</w:t>
            </w:r>
          </w:p>
        </w:tc>
      </w:tr>
      <w:tr>
        <w:tc>
          <w:tcPr>
            <w:tcW w:type="dxa" w:w="3355"/>
          </w:tcPr>
          <w:p>
            <w:r>
              <w:t>HTTP Compliance</w:t>
            </w:r>
          </w:p>
        </w:tc>
        <w:tc>
          <w:tcPr>
            <w:tcW w:type="dxa" w:w="3355"/>
          </w:tcPr>
          <w:p>
            <w:r>
              <w:t>21</w:t>
            </w:r>
          </w:p>
        </w:tc>
        <w:tc>
          <w:tcPr>
            <w:tcW w:type="dxa" w:w="3355"/>
          </w:tcPr>
          <w:p>
            <w:r>
              <w:t>18</w:t>
            </w:r>
          </w:p>
        </w:tc>
      </w:tr>
      <w:tr>
        <w:tc>
          <w:tcPr>
            <w:tcW w:type="dxa" w:w="3355"/>
          </w:tcPr>
          <w:p>
            <w:r>
              <w:t>Evasion</w:t>
            </w:r>
          </w:p>
        </w:tc>
        <w:tc>
          <w:tcPr>
            <w:tcW w:type="dxa" w:w="3355"/>
          </w:tcPr>
          <w:p>
            <w:r>
              <w:t>12</w:t>
            </w:r>
          </w:p>
        </w:tc>
        <w:tc>
          <w:tcPr>
            <w:tcW w:type="dxa" w:w="3355"/>
          </w:tcPr>
          <w:p>
            <w:r>
              <w:t>12</w:t>
            </w:r>
          </w:p>
        </w:tc>
      </w:tr>
    </w:tbl>
    <w:p/>
    <w:p/>
    <w:p>
      <w:pPr>
        <w:pStyle w:val="Heading2"/>
      </w:pPr>
      <w:r>
        <w:t>Suggestions and Findings</w:t>
      </w:r>
    </w:p>
    <w:p>
      <w:r>
        <w:t>The following section provides the findings overview from the ASM configuration review.Detail analysis for each finding will follow the subsequent subsections.</w:t>
      </w:r>
    </w:p>
    <w:p/>
    <w:p>
      <w:r>
        <w:t>The following table provides the summary of all the recommendations of the health check for this ASM policy.</w:t>
      </w:r>
    </w:p>
    <w:tbl>
      <w:tblPr>
        <w:tblStyle w:val="TableGrid"/>
        <w:tblW w:type="auto" w:w="0"/>
        <w:tblLook w:firstColumn="1" w:firstRow="1" w:lastColumn="0" w:lastRow="0" w:noHBand="0" w:noVBand="1" w:val="04A0"/>
      </w:tblPr>
      <w:tblGrid>
        <w:gridCol w:w="567"/>
        <w:gridCol w:w="567"/>
        <w:gridCol w:w="6803"/>
        <w:gridCol w:w="1701"/>
      </w:tblGrid>
      <w:tr>
        <w:tc>
          <w:tcPr>
            <w:tcW w:type="dxa" w:w="567"/>
          </w:tcPr>
          <w:p>
            <w:r>
              <w:t>#</w:t>
            </w:r>
          </w:p>
        </w:tc>
        <w:tc>
          <w:tcPr>
            <w:tcW w:type="dxa" w:w="567"/>
          </w:tcPr>
          <w:p>
            <w:r>
              <w:t>Severity</w:t>
            </w:r>
          </w:p>
        </w:tc>
        <w:tc>
          <w:tcPr>
            <w:tcW w:type="dxa" w:w="6803"/>
          </w:tcPr>
          <w:p>
            <w:r>
              <w:t>Suggestion</w:t>
            </w:r>
          </w:p>
        </w:tc>
        <w:tc>
          <w:tcPr>
            <w:tcW w:type="dxa" w:w="1701"/>
          </w:tcPr>
          <w:p>
            <w:r>
              <w:t>Category</w:t>
            </w:r>
          </w:p>
        </w:tc>
      </w:tr>
      <w:tr>
        <w:tc>
          <w:tcPr>
            <w:tcW w:type="dxa" w:w="567"/>
          </w:tcPr>
          <w:p>
            <w:r>
              <w:t>1</w:t>
            </w:r>
          </w:p>
        </w:tc>
        <w:tc>
          <w:tcPr>
            <w:tcW w:type="dxa" w:w="567"/>
          </w:tcPr>
          <w:p>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Critical.png"/>
                          <pic:cNvPicPr/>
                        </pic:nvPicPr>
                        <pic:blipFill>
                          <a:blip r:embed="rId12"/>
                          <a:stretch>
                            <a:fillRect/>
                          </a:stretch>
                        </pic:blipFill>
                        <pic:spPr>
                          <a:xfrm>
                            <a:off x="0" y="0"/>
                            <a:ext cx="228600" cy="228600"/>
                          </a:xfrm>
                          <a:prstGeom prst="rect"/>
                        </pic:spPr>
                      </pic:pic>
                    </a:graphicData>
                  </a:graphic>
                </wp:inline>
              </w:drawing>
            </w:r>
          </w:p>
        </w:tc>
        <w:tc>
          <w:tcPr>
            <w:tcW w:type="dxa" w:w="6803"/>
          </w:tcPr>
          <w:p>
            <w:r>
              <w:t>No attack signatures are enabled for this policy.</w:t>
            </w:r>
          </w:p>
        </w:tc>
        <w:tc>
          <w:tcPr>
            <w:tcW w:type="dxa" w:w="1701"/>
          </w:tcPr>
          <w:p>
            <w:r>
              <w:t>Signatures</w:t>
            </w:r>
          </w:p>
        </w:tc>
      </w:tr>
      <w:tr>
        <w:tc>
          <w:tcPr>
            <w:tcW w:type="dxa" w:w="567"/>
          </w:tcPr>
          <w:p>
            <w:r>
              <w:t>2</w:t>
            </w:r>
          </w:p>
        </w:tc>
        <w:tc>
          <w:tcPr>
            <w:tcW w:type="dxa" w:w="567"/>
          </w:tcPr>
          <w:p>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High.png"/>
                          <pic:cNvPicPr/>
                        </pic:nvPicPr>
                        <pic:blipFill>
                          <a:blip r:embed="rId13"/>
                          <a:stretch>
                            <a:fillRect/>
                          </a:stretch>
                        </pic:blipFill>
                        <pic:spPr>
                          <a:xfrm>
                            <a:off x="0" y="0"/>
                            <a:ext cx="228600" cy="228600"/>
                          </a:xfrm>
                          <a:prstGeom prst="rect"/>
                        </pic:spPr>
                      </pic:pic>
                    </a:graphicData>
                  </a:graphic>
                </wp:inline>
              </w:drawing>
            </w:r>
          </w:p>
        </w:tc>
        <w:tc>
          <w:tcPr>
            <w:tcW w:type="dxa" w:w="6803"/>
          </w:tcPr>
          <w:p>
            <w:r>
              <w:t>All evasion technique checks are disabled although the evasion violation is configured to block.</w:t>
            </w:r>
          </w:p>
        </w:tc>
        <w:tc>
          <w:tcPr>
            <w:tcW w:type="dxa" w:w="1701"/>
          </w:tcPr>
          <w:p>
            <w:r>
              <w:t>Evasions</w:t>
            </w:r>
          </w:p>
        </w:tc>
      </w:tr>
      <w:tr>
        <w:tc>
          <w:tcPr>
            <w:tcW w:type="dxa" w:w="567"/>
          </w:tcPr>
          <w:p>
            <w:r>
              <w:t>3</w:t>
            </w:r>
          </w:p>
        </w:tc>
        <w:tc>
          <w:tcPr>
            <w:tcW w:type="dxa" w:w="567"/>
          </w:tcPr>
          <w:p>
            <w:r>
              <w:drawing>
                <wp:inline xmlns:a="http://schemas.openxmlformats.org/drawingml/2006/main" xmlns:pic="http://schemas.openxmlformats.org/drawingml/2006/picture">
                  <wp:extent cx="228600" cy="228600"/>
                  <wp:docPr id="3" name="Picture 3"/>
                  <wp:cNvGraphicFramePr>
                    <a:graphicFrameLocks noChangeAspect="1"/>
                  </wp:cNvGraphicFramePr>
                  <a:graphic>
                    <a:graphicData uri="http://schemas.openxmlformats.org/drawingml/2006/picture">
                      <pic:pic>
                        <pic:nvPicPr>
                          <pic:cNvPr id="0" name="High.png"/>
                          <pic:cNvPicPr/>
                        </pic:nvPicPr>
                        <pic:blipFill>
                          <a:blip r:embed="rId13"/>
                          <a:stretch>
                            <a:fillRect/>
                          </a:stretch>
                        </pic:blipFill>
                        <pic:spPr>
                          <a:xfrm>
                            <a:off x="0" y="0"/>
                            <a:ext cx="228600" cy="228600"/>
                          </a:xfrm>
                          <a:prstGeom prst="rect"/>
                        </pic:spPr>
                      </pic:pic>
                    </a:graphicData>
                  </a:graphic>
                </wp:inline>
              </w:drawing>
            </w:r>
          </w:p>
        </w:tc>
        <w:tc>
          <w:tcPr>
            <w:tcW w:type="dxa" w:w="6803"/>
          </w:tcPr>
          <w:p>
            <w:r>
              <w:t>The wildcard parameter entry is staged and does not enforce parameter signatures.</w:t>
            </w:r>
          </w:p>
        </w:tc>
        <w:tc>
          <w:tcPr>
            <w:tcW w:type="dxa" w:w="1701"/>
          </w:tcPr>
          <w:p>
            <w:r>
              <w:t>Parameters</w:t>
            </w:r>
          </w:p>
        </w:tc>
      </w:tr>
      <w:tr>
        <w:tc>
          <w:tcPr>
            <w:tcW w:type="dxa" w:w="567"/>
          </w:tcPr>
          <w:p>
            <w:r>
              <w:t>4</w:t>
            </w:r>
          </w:p>
        </w:tc>
        <w:tc>
          <w:tcPr>
            <w:tcW w:type="dxa" w:w="567"/>
          </w:tcPr>
          <w:p>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High.png"/>
                          <pic:cNvPicPr/>
                        </pic:nvPicPr>
                        <pic:blipFill>
                          <a:blip r:embed="rId13"/>
                          <a:stretch>
                            <a:fillRect/>
                          </a:stretch>
                        </pic:blipFill>
                        <pic:spPr>
                          <a:xfrm>
                            <a:off x="0" y="0"/>
                            <a:ext cx="228600" cy="228600"/>
                          </a:xfrm>
                          <a:prstGeom prst="rect"/>
                        </pic:spPr>
                      </pic:pic>
                    </a:graphicData>
                  </a:graphic>
                </wp:inline>
              </w:drawing>
            </w:r>
          </w:p>
        </w:tc>
        <w:tc>
          <w:tcPr>
            <w:tcW w:type="dxa" w:w="6803"/>
          </w:tcPr>
          <w:p>
            <w:r>
              <w:t>Only default sensitive parameters are configured and password fields are not explicitly marked.</w:t>
            </w:r>
          </w:p>
        </w:tc>
        <w:tc>
          <w:tcPr>
            <w:tcW w:type="dxa" w:w="1701"/>
          </w:tcPr>
          <w:p>
            <w:r>
              <w:t>Parameters</w:t>
            </w:r>
          </w:p>
        </w:tc>
      </w:tr>
      <w:tr>
        <w:tc>
          <w:tcPr>
            <w:tcW w:type="dxa" w:w="567"/>
          </w:tcPr>
          <w:p>
            <w:r>
              <w:t>5</w:t>
            </w:r>
          </w:p>
        </w:tc>
        <w:tc>
          <w:tcPr>
            <w:tcW w:type="dxa" w:w="567"/>
          </w:tcPr>
          <w:p>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Medium.png"/>
                          <pic:cNvPicPr/>
                        </pic:nvPicPr>
                        <pic:blipFill>
                          <a:blip r:embed="rId14"/>
                          <a:stretch>
                            <a:fillRect/>
                          </a:stretch>
                        </pic:blipFill>
                        <pic:spPr>
                          <a:xfrm>
                            <a:off x="0" y="0"/>
                            <a:ext cx="228600" cy="228600"/>
                          </a:xfrm>
                          <a:prstGeom prst="rect"/>
                        </pic:spPr>
                      </pic:pic>
                    </a:graphicData>
                  </a:graphic>
                </wp:inline>
              </w:drawing>
            </w:r>
          </w:p>
        </w:tc>
        <w:tc>
          <w:tcPr>
            <w:tcW w:type="dxa" w:w="6803"/>
          </w:tcPr>
          <w:p>
            <w:r>
              <w:t>HTTP Protocol Compliance partially disabled</w:t>
            </w:r>
          </w:p>
        </w:tc>
        <w:tc>
          <w:tcPr>
            <w:tcW w:type="dxa" w:w="1701"/>
          </w:tcPr>
          <w:p>
            <w:r>
              <w:t>Protocol Compliance</w:t>
            </w:r>
          </w:p>
        </w:tc>
      </w:tr>
      <w:tr>
        <w:tc>
          <w:tcPr>
            <w:tcW w:type="dxa" w:w="567"/>
          </w:tcPr>
          <w:p>
            <w:r>
              <w:t>6</w:t>
            </w:r>
          </w:p>
        </w:tc>
        <w:tc>
          <w:tcPr>
            <w:tcW w:type="dxa" w:w="567"/>
          </w:tcPr>
          <w:p>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Medium.png"/>
                          <pic:cNvPicPr/>
                        </pic:nvPicPr>
                        <pic:blipFill>
                          <a:blip r:embed="rId14"/>
                          <a:stretch>
                            <a:fillRect/>
                          </a:stretch>
                        </pic:blipFill>
                        <pic:spPr>
                          <a:xfrm>
                            <a:off x="0" y="0"/>
                            <a:ext cx="228600" cy="228600"/>
                          </a:xfrm>
                          <a:prstGeom prst="rect"/>
                        </pic:spPr>
                      </pic:pic>
                    </a:graphicData>
                  </a:graphic>
                </wp:inline>
              </w:drawing>
            </w:r>
          </w:p>
        </w:tc>
        <w:tc>
          <w:tcPr>
            <w:tcW w:type="dxa" w:w="6803"/>
          </w:tcPr>
          <w:p>
            <w:r>
              <w:t>HTTP Header Signature disabled</w:t>
            </w:r>
          </w:p>
        </w:tc>
        <w:tc>
          <w:tcPr>
            <w:tcW w:type="dxa" w:w="1701"/>
          </w:tcPr>
          <w:p>
            <w:r>
              <w:t>HTTP Headers</w:t>
            </w:r>
          </w:p>
        </w:tc>
      </w:tr>
      <w:tr>
        <w:tc>
          <w:tcPr>
            <w:tcW w:type="dxa" w:w="567"/>
          </w:tcPr>
          <w:p>
            <w:r>
              <w:t>7</w:t>
            </w:r>
          </w:p>
        </w:tc>
        <w:tc>
          <w:tcPr>
            <w:tcW w:type="dxa" w:w="567"/>
          </w:tcPr>
          <w:p>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Medium.png"/>
                          <pic:cNvPicPr/>
                        </pic:nvPicPr>
                        <pic:blipFill>
                          <a:blip r:embed="rId14"/>
                          <a:stretch>
                            <a:fillRect/>
                          </a:stretch>
                        </pic:blipFill>
                        <pic:spPr>
                          <a:xfrm>
                            <a:off x="0" y="0"/>
                            <a:ext cx="228600" cy="228600"/>
                          </a:xfrm>
                          <a:prstGeom prst="rect"/>
                        </pic:spPr>
                      </pic:pic>
                    </a:graphicData>
                  </a:graphic>
                </wp:inline>
              </w:drawing>
            </w:r>
          </w:p>
        </w:tc>
        <w:tc>
          <w:tcPr>
            <w:tcW w:type="dxa" w:w="6803"/>
          </w:tcPr>
          <w:p>
            <w:r>
              <w:t>IP Intelligence disabled</w:t>
            </w:r>
          </w:p>
        </w:tc>
        <w:tc>
          <w:tcPr>
            <w:tcW w:type="dxa" w:w="1701"/>
          </w:tcPr>
          <w:p>
            <w:r>
              <w:t>IP Intelligence</w:t>
            </w:r>
          </w:p>
        </w:tc>
      </w:tr>
      <w:tr>
        <w:tc>
          <w:tcPr>
            <w:tcW w:type="dxa" w:w="567"/>
          </w:tcPr>
          <w:p>
            <w:r>
              <w:t>8</w:t>
            </w:r>
          </w:p>
        </w:tc>
        <w:tc>
          <w:tcPr>
            <w:tcW w:type="dxa" w:w="567"/>
          </w:tcPr>
          <w:p>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Few parameters use attack signature overrides that may weaken parameter-level security.</w:t>
            </w:r>
          </w:p>
        </w:tc>
        <w:tc>
          <w:tcPr>
            <w:tcW w:type="dxa" w:w="1701"/>
          </w:tcPr>
          <w:p>
            <w:r>
              <w:t>Parameters</w:t>
            </w:r>
          </w:p>
        </w:tc>
      </w:tr>
      <w:tr>
        <w:tc>
          <w:tcPr>
            <w:tcW w:type="dxa" w:w="567"/>
          </w:tcPr>
          <w:p>
            <w:r>
              <w:t>9</w:t>
            </w:r>
          </w:p>
        </w:tc>
        <w:tc>
          <w:tcPr>
            <w:tcW w:type="dxa" w:w="567"/>
          </w:tcPr>
          <w:p>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Few URLs use attack signature overrides that may hide real attacks if too permissive.</w:t>
            </w:r>
          </w:p>
        </w:tc>
        <w:tc>
          <w:tcPr>
            <w:tcW w:type="dxa" w:w="1701"/>
          </w:tcPr>
          <w:p>
            <w:r>
              <w:t>URLs</w:t>
            </w:r>
          </w:p>
        </w:tc>
      </w:tr>
      <w:tr>
        <w:tc>
          <w:tcPr>
            <w:tcW w:type="dxa" w:w="567"/>
          </w:tcPr>
          <w:p>
            <w:r>
              <w:t>10</w:t>
            </w:r>
          </w:p>
        </w:tc>
        <w:tc>
          <w:tcPr>
            <w:tcW w:type="dxa" w:w="567"/>
          </w:tcPr>
          <w:p>
            <w:r>
              <w:drawing>
                <wp:inline xmlns:a="http://schemas.openxmlformats.org/drawingml/2006/main" xmlns:pic="http://schemas.openxmlformats.org/drawingml/2006/picture">
                  <wp:extent cx="228600" cy="228600"/>
                  <wp:docPr id="10" name="Picture 10"/>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Brute force protection is disabled even though the brute force violation is configured to block.</w:t>
            </w:r>
          </w:p>
        </w:tc>
        <w:tc>
          <w:tcPr>
            <w:tcW w:type="dxa" w:w="1701"/>
          </w:tcPr>
          <w:p>
            <w:r>
              <w:t>Brute Force</w:t>
            </w:r>
          </w:p>
        </w:tc>
      </w:tr>
      <w:tr>
        <w:tc>
          <w:tcPr>
            <w:tcW w:type="dxa" w:w="567"/>
          </w:tcPr>
          <w:p>
            <w:r>
              <w:t>11</w:t>
            </w:r>
          </w:p>
        </w:tc>
        <w:tc>
          <w:tcPr>
            <w:tcW w:type="dxa" w:w="567"/>
          </w:tcPr>
          <w:p>
            <w:r>
              <w:drawing>
                <wp:inline xmlns:a="http://schemas.openxmlformats.org/drawingml/2006/main" xmlns:pic="http://schemas.openxmlformats.org/drawingml/2006/picture">
                  <wp:extent cx="228600" cy="228600"/>
                  <wp:docPr id="11" name="Picture 11"/>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New and updated signatures are not automatically placed in staging.</w:t>
            </w:r>
          </w:p>
        </w:tc>
        <w:tc>
          <w:tcPr>
            <w:tcW w:type="dxa" w:w="1701"/>
          </w:tcPr>
          <w:p>
            <w:r>
              <w:t>Signatures</w:t>
            </w:r>
          </w:p>
        </w:tc>
      </w:tr>
      <w:tr>
        <w:tc>
          <w:tcPr>
            <w:tcW w:type="dxa" w:w="567"/>
          </w:tcPr>
          <w:p>
            <w:r>
              <w:t>12</w:t>
            </w:r>
          </w:p>
        </w:tc>
        <w:tc>
          <w:tcPr>
            <w:tcW w:type="dxa" w:w="567"/>
          </w:tcPr>
          <w:p>
            <w:r>
              <w:drawing>
                <wp:inline xmlns:a="http://schemas.openxmlformats.org/drawingml/2006/main" xmlns:pic="http://schemas.openxmlformats.org/drawingml/2006/picture">
                  <wp:extent cx="228600" cy="228600"/>
                  <wp:docPr id="12" name="Picture 12"/>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The policy is case-sensitive, which can make maintenance and tuning more complex.</w:t>
            </w:r>
          </w:p>
        </w:tc>
        <w:tc>
          <w:tcPr>
            <w:tcW w:type="dxa" w:w="1701"/>
          </w:tcPr>
          <w:p>
            <w:r>
              <w:t>General</w:t>
            </w:r>
          </w:p>
        </w:tc>
      </w:tr>
      <w:tr>
        <w:tc>
          <w:tcPr>
            <w:tcW w:type="dxa" w:w="567"/>
          </w:tcPr>
          <w:p>
            <w:r>
              <w:t>13</w:t>
            </w:r>
          </w:p>
        </w:tc>
        <w:tc>
          <w:tcPr>
            <w:tcW w:type="dxa" w:w="567"/>
          </w:tcPr>
          <w:p>
            <w:r>
              <w:drawing>
                <wp:inline xmlns:a="http://schemas.openxmlformats.org/drawingml/2006/main" xmlns:pic="http://schemas.openxmlformats.org/drawingml/2006/picture">
                  <wp:extent cx="228600" cy="228600"/>
                  <wp:docPr id="13" name="Picture 13"/>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Auto-added signatures use a medium accuracy threshold.</w:t>
            </w:r>
          </w:p>
        </w:tc>
        <w:tc>
          <w:tcPr>
            <w:tcW w:type="dxa" w:w="1701"/>
          </w:tcPr>
          <w:p>
            <w:r>
              <w:t>Signatures</w:t>
            </w:r>
          </w:p>
        </w:tc>
      </w:tr>
      <w:tr>
        <w:tc>
          <w:tcPr>
            <w:tcW w:type="dxa" w:w="567"/>
          </w:tcPr>
          <w:p>
            <w:r>
              <w:t>14</w:t>
            </w:r>
          </w:p>
        </w:tc>
        <w:tc>
          <w:tcPr>
            <w:tcW w:type="dxa" w:w="567"/>
          </w:tcPr>
          <w:p>
            <w:r>
              <w:drawing>
                <wp:inline xmlns:a="http://schemas.openxmlformats.org/drawingml/2006/main" xmlns:pic="http://schemas.openxmlformats.org/drawingml/2006/picture">
                  <wp:extent cx="228600" cy="228600"/>
                  <wp:docPr id="14" name="Picture 14"/>
                  <wp:cNvGraphicFramePr>
                    <a:graphicFrameLocks noChangeAspect="1"/>
                  </wp:cNvGraphicFramePr>
                  <a:graphic>
                    <a:graphicData uri="http://schemas.openxmlformats.org/drawingml/2006/picture">
                      <pic:pic>
                        <pic:nvPicPr>
                          <pic:cNvPr id="0" name="Low.png"/>
                          <pic:cNvPicPr/>
                        </pic:nvPicPr>
                        <pic:blipFill>
                          <a:blip r:embed="rId15"/>
                          <a:stretch>
                            <a:fillRect/>
                          </a:stretch>
                        </pic:blipFill>
                        <pic:spPr>
                          <a:xfrm>
                            <a:off x="0" y="0"/>
                            <a:ext cx="228600" cy="228600"/>
                          </a:xfrm>
                          <a:prstGeom prst="rect"/>
                        </pic:spPr>
                      </pic:pic>
                    </a:graphicData>
                  </a:graphic>
                </wp:inline>
              </w:drawing>
            </w:r>
          </w:p>
        </w:tc>
        <w:tc>
          <w:tcPr>
            <w:tcW w:type="dxa" w:w="6803"/>
          </w:tcPr>
          <w:p>
            <w:r>
              <w:t>Policy Builder trusts all IPs, allowing untrusted sources to influence learning.</w:t>
            </w:r>
          </w:p>
        </w:tc>
        <w:tc>
          <w:tcPr>
            <w:tcW w:type="dxa" w:w="1701"/>
          </w:tcPr>
          <w:p>
            <w:r>
              <w:t>PolicyBuilder</w:t>
            </w:r>
          </w:p>
        </w:tc>
      </w:tr>
    </w:tbl>
    <w:p/>
    <w:p/>
    <w:p>
      <w:r>
        <w:t>The following subsections highlight the main findings from the ASM configuration review.Each item includes a short description, the associated severity, and practical guidance on what should be reviewed or adjusted.</w:t>
      </w:r>
    </w:p>
    <w:p/>
    <w:p>
      <w:pPr>
        <w:pStyle w:val="Heading3"/>
      </w:pPr>
      <w:r>
        <w:t>No Signatures enabled</w:t>
      </w:r>
    </w:p>
    <w:p>
      <w:pPr>
        <w:pStyle w:val="sevCritical"/>
      </w:pPr>
      <w:r>
        <w:t>Severity: Critical</w:t>
      </w:r>
    </w:p>
    <w:p>
      <w:r>
        <w:t>No attack signatures are enabled for this ASM policy. Without signatures, the policy will not detect a wide range of known attack patterns (for example SQLi, XSS, RFI). Enable appropriate signature sets to provide baseline protection for the application.</w:t>
      </w:r>
    </w:p>
    <w:p/>
    <w:p/>
    <w:p>
      <w:pPr>
        <w:pStyle w:val="Heading3"/>
      </w:pPr>
      <w:r>
        <w:t>All Evasion Techniques disabled</w:t>
      </w:r>
    </w:p>
    <w:p>
      <w:pPr>
        <w:pStyle w:val="sevHigh"/>
      </w:pPr>
      <w:r>
        <w:t>Severity: High</w:t>
      </w:r>
    </w:p>
    <w:p>
      <w:r>
        <w:t>All evasion technique violations are disabled, even though the main 'Evasion technique detected' violation is configured to block. This may allow attackers to bypass the policy using encoding or obfuscation techniques that are not being inspected.</w:t>
      </w:r>
    </w:p>
    <w:p/>
    <w:p/>
    <w:p>
      <w:pPr>
        <w:pStyle w:val="Heading3"/>
      </w:pPr>
      <w:r>
        <w:t>Wildcard Parameter in staging</w:t>
      </w:r>
    </w:p>
    <w:p>
      <w:pPr>
        <w:pStyle w:val="sevHigh"/>
      </w:pPr>
      <w:r>
        <w:t>Severity: High</w:t>
      </w:r>
    </w:p>
    <w:p>
      <w:r>
        <w:t>The wildcard (*) parameter entry is still in staging. Requests that violate parameter-based signatures under this wildcard will not be blocked. Review and enforce this wildcard or refine it into explicit parameters.</w:t>
      </w:r>
    </w:p>
    <w:p/>
    <w:p/>
    <w:p>
      <w:pPr>
        <w:pStyle w:val="Heading3"/>
      </w:pPr>
      <w:r>
        <w:t>Sensitive Parameter configuration</w:t>
      </w:r>
    </w:p>
    <w:p>
      <w:pPr>
        <w:pStyle w:val="sevHigh"/>
      </w:pPr>
      <w:r>
        <w:t>Severity: High</w:t>
      </w:r>
    </w:p>
    <w:p>
      <w:r>
        <w:t>Only the default sensitive parameter configuration is in use. Password fields and other sensitive inputs (such as authentication tokens or payment data) are not explicitly marked as sensitive. Add all password-related and high-risk parameters as sensitive so they benefit from additional protection and masking in logs.</w:t>
      </w:r>
    </w:p>
    <w:p/>
    <w:p/>
    <w:p>
      <w:pPr>
        <w:pStyle w:val="Heading3"/>
      </w:pPr>
      <w:r>
        <w:t>HTTP Protocol Compliance partially disabled</w:t>
      </w:r>
    </w:p>
    <w:p>
      <w:pPr>
        <w:pStyle w:val="sevMedium"/>
      </w:pPr>
      <w:r>
        <w:t>Severity: Medium</w:t>
      </w:r>
    </w:p>
    <w:p>
      <w:r>
        <w:t>18 out of 21 HTTP protocol compliance sub-violations are disabled, while the main 'HTTP protocol compliance failed' violation is configured to block. Review these disabled checks to ensure they were intentionally turned off and do not reduce the desired level of protocol enforcement.</w:t>
      </w:r>
    </w:p>
    <w:p/>
    <w:p>
      <w:r>
        <w:t>The following HTTP protocol compliance checks are disabled:</w:t>
      </w:r>
    </w:p>
    <w:p>
      <w:r>
        <w:t xml:space="preserve">   -  Check maximum number of cookies</w:t>
      </w:r>
    </w:p>
    <w:p>
      <w:r>
        <w:t xml:space="preserve">   -  Unescaped space in URL</w:t>
      </w:r>
    </w:p>
    <w:p>
      <w:r>
        <w:t xml:space="preserve">   -  Multiple host headers</w:t>
      </w:r>
    </w:p>
    <w:p>
      <w:r>
        <w:t xml:space="preserve">   -  Check maximum number of parameters</w:t>
      </w:r>
    </w:p>
    <w:p>
      <w:r>
        <w:t xml:space="preserve">   -  Bad host header value</w:t>
      </w:r>
    </w:p>
    <w:p>
      <w:r>
        <w:t xml:space="preserve">   -  Check maximum number of headers</w:t>
      </w:r>
    </w:p>
    <w:p>
      <w:r>
        <w:t xml:space="preserve">   -  High ASCII characters in headers</w:t>
      </w:r>
    </w:p>
    <w:p>
      <w:r>
        <w:t xml:space="preserve">   -  Content length should be a positive number</w:t>
      </w:r>
    </w:p>
    <w:p>
      <w:r>
        <w:t xml:space="preserve">   -  Host header contains IP address</w:t>
      </w:r>
    </w:p>
    <w:p>
      <w:r>
        <w:t xml:space="preserve">   -  CRLF characters before request start</w:t>
      </w:r>
    </w:p>
    <w:p>
      <w:r>
        <w:t xml:space="preserve">   -  No Host header in HTTP/1.1 request</w:t>
      </w:r>
    </w:p>
    <w:p>
      <w:r>
        <w:t xml:space="preserve">   -  Bad multipart parameters parsing</w:t>
      </w:r>
    </w:p>
    <w:p>
      <w:r>
        <w:t xml:space="preserve">   -  Bad multipart/form-data request parsing</w:t>
      </w:r>
    </w:p>
    <w:p>
      <w:r>
        <w:t xml:space="preserve">   -  Body in GET or HEAD requests</w:t>
      </w:r>
    </w:p>
    <w:p>
      <w:r>
        <w:t xml:space="preserve">   -  Chunked request with Content-Length header</w:t>
      </w:r>
    </w:p>
    <w:p>
      <w:r>
        <w:t xml:space="preserve">   -  Several Content-Length headers</w:t>
      </w:r>
    </w:p>
    <w:p>
      <w:r>
        <w:t xml:space="preserve">   -  Header name with no header value</w:t>
      </w:r>
    </w:p>
    <w:p>
      <w:r>
        <w:t xml:space="preserve">   -  POST request with Content-Length: 0</w:t>
      </w:r>
    </w:p>
    <w:p/>
    <w:p>
      <w:pPr>
        <w:pStyle w:val="Heading3"/>
      </w:pPr>
      <w:r>
        <w:t>HTTP Header Signature disabled</w:t>
      </w:r>
    </w:p>
    <w:p>
      <w:pPr>
        <w:pStyle w:val="sevMedium"/>
      </w:pPr>
      <w:r>
        <w:t>Severity: Medium</w:t>
      </w:r>
    </w:p>
    <w:p>
      <w:r>
        <w:t>1 out of 5 HTTP headers have their attack signatures disabled. In this state, signature-based detection for attacks leveraging these headers will not occur. Re-enable signatures where appropriate to maintain full header inspection coverage.</w:t>
      </w:r>
    </w:p>
    <w:p/>
    <w:p>
      <w:r>
        <w:t>The following Headers have their signatures disabled:</w:t>
      </w:r>
    </w:p>
    <w:p>
      <w:r>
        <w:t xml:space="preserve">   -  cookie</w:t>
      </w:r>
    </w:p>
    <w:p/>
    <w:p>
      <w:pPr>
        <w:pStyle w:val="Heading3"/>
      </w:pPr>
      <w:r>
        <w:t>IP Intelligence disabled</w:t>
      </w:r>
    </w:p>
    <w:p>
      <w:pPr>
        <w:pStyle w:val="sevMedium"/>
      </w:pPr>
      <w:r>
        <w:t>Severity: Medium</w:t>
      </w:r>
    </w:p>
    <w:p>
      <w:r>
        <w:t>IP Intelligence is disabled, even though the related blocking violation is enabled in Blocking Settings. In this state, the policy does not benefit from reputation-based blocking of known bad IPs. Enable IP Intelligence and configure the relevant categories if you want to leverage IP reputation data.</w:t>
      </w:r>
    </w:p>
    <w:p/>
    <w:p/>
    <w:p>
      <w:pPr>
        <w:pStyle w:val="Heading3"/>
      </w:pPr>
      <w:r>
        <w:t>Parameters Signature Overrides</w:t>
      </w:r>
    </w:p>
    <w:p>
      <w:pPr>
        <w:pStyle w:val="sevLow"/>
      </w:pPr>
      <w:r>
        <w:t>Severity: Low</w:t>
      </w:r>
    </w:p>
    <w:p>
      <w:r>
        <w:t>2 out of 2 parameters have attack signature overrides configured. Overrides can help tune false positives, but too many or overly broad overrides may significantly reduce parameter-level protection. Review these overrides and narrow or remove them where possible.</w:t>
      </w:r>
    </w:p>
    <w:p/>
    <w:p>
      <w:r>
        <w:t>The following Parameters have signatures overrides:</w:t>
      </w:r>
    </w:p>
    <w:p>
      <w:r>
        <w:t xml:space="preserve">   -  test</w:t>
      </w:r>
    </w:p>
    <w:p>
      <w:r>
        <w:t xml:space="preserve">   -  *</w:t>
      </w:r>
    </w:p>
    <w:p/>
    <w:p>
      <w:pPr>
        <w:pStyle w:val="Heading3"/>
      </w:pPr>
      <w:r>
        <w:t>URLs Signature Overrides</w:t>
      </w:r>
    </w:p>
    <w:p>
      <w:pPr>
        <w:pStyle w:val="sevLow"/>
      </w:pPr>
      <w:r>
        <w:t>Severity: Low</w:t>
      </w:r>
    </w:p>
    <w:p>
      <w:r>
        <w:t>1 out of 2 URLs have attack signature overrides configured. Excessive overrides may indicate tuning issues and can hide real attacks if overly permissive. Review these URLs and confirm that the overrides are required and tightly scoped.</w:t>
      </w:r>
    </w:p>
    <w:p/>
    <w:p>
      <w:r>
        <w:t>The following URLs have signatures overrides:</w:t>
      </w:r>
    </w:p>
    <w:p>
      <w:r>
        <w:t xml:space="preserve">   -  *</w:t>
      </w:r>
    </w:p>
    <w:p/>
    <w:p>
      <w:pPr>
        <w:pStyle w:val="Heading3"/>
      </w:pPr>
      <w:r>
        <w:t>Brute Force disabled</w:t>
      </w:r>
    </w:p>
    <w:p>
      <w:pPr>
        <w:pStyle w:val="sevLow"/>
      </w:pPr>
      <w:r>
        <w:t>Severity: Low</w:t>
      </w:r>
    </w:p>
    <w:p>
      <w:r>
        <w:t>Brute force protection is disabled, even though the 'Login URL detected as a brute force attack' violation is configured to block. In this state, repeated failed login attempts will not be mitigated by the WAF. Enable brute force protection and configure appropriate thresholds to protect authentication endpoints.</w:t>
      </w:r>
    </w:p>
    <w:p/>
    <w:p/>
    <w:p>
      <w:pPr>
        <w:pStyle w:val="Heading3"/>
      </w:pPr>
      <w:r>
        <w:t>Place New/Updated Signatures in staging</w:t>
      </w:r>
    </w:p>
    <w:p>
      <w:pPr>
        <w:pStyle w:val="sevLow"/>
      </w:pPr>
      <w:r>
        <w:t>Severity: Low</w:t>
      </w:r>
    </w:p>
    <w:p>
      <w:r>
        <w:t>The option to automatically place new and updated signatures in staging is currently disabled. Without this staging period, new signatures will immediately enforce and may cause unexpected blocking. It is recommended to enable 'placeSignaturesInStaging' so you can monitor logs and tune false positives before enabling blocking.</w:t>
      </w:r>
    </w:p>
    <w:p/>
    <w:p/>
    <w:p>
      <w:pPr>
        <w:pStyle w:val="Heading3"/>
      </w:pPr>
      <w:r>
        <w:t>Case-sensitive Policy</w:t>
      </w:r>
    </w:p>
    <w:p>
      <w:pPr>
        <w:pStyle w:val="sevInfo"/>
      </w:pPr>
      <w:r>
        <w:t>Severity: Info</w:t>
      </w:r>
    </w:p>
    <w:p>
      <w:r>
        <w:t>The policy is configured as case-sensitive. Case-sensitive policies can be harder to maintain and may lead to unexpected differences between similar objects. For ease of use and consistency, consider switching to a case-insensitive policy unless there is a specific requirement.</w:t>
      </w:r>
    </w:p>
    <w:p/>
    <w:p/>
    <w:p>
      <w:pPr>
        <w:pStyle w:val="Heading3"/>
      </w:pPr>
      <w:r>
        <w:t>Minimum Accuracy of auto added Signatures</w:t>
      </w:r>
    </w:p>
    <w:p>
      <w:pPr>
        <w:pStyle w:val="sevInfo"/>
      </w:pPr>
      <w:r>
        <w:t>Severity: Info</w:t>
      </w:r>
    </w:p>
    <w:p>
      <w:r>
        <w:t>The minimum accuracy for auto-added signatures is configured as 'medium'. Higher accuracy levels reduce the likelihood of false positives but may detect fewer attack variants. Review this setting to ensure it aligns with your risk tolerance and tuning approach.</w:t>
      </w:r>
    </w:p>
    <w:p/>
    <w:p/>
    <w:p>
      <w:pPr>
        <w:pStyle w:val="Heading3"/>
      </w:pPr>
      <w:r>
        <w:t>Change 'Trusted IPs' from All to Selected IPs</w:t>
      </w:r>
    </w:p>
    <w:p>
      <w:pPr>
        <w:pStyle w:val="sevInfo"/>
      </w:pPr>
      <w:r>
        <w:t>Severity: Info</w:t>
      </w:r>
    </w:p>
    <w:p>
      <w:r>
        <w:t>Policy Builder is configured to trust all IP addresses. Trusting all sources can allow malicious traffic to influence the learning process and relax the policy incorrectly. Restrict trusted IPs to a small set of known good sources instead of using 'trust all IPs'.</w:t>
      </w:r>
    </w:p>
    <w:p/>
    <w:sectPr w:rsidR="00B809CA" w:rsidRPr="006C7003" w:rsidSect="00851FB0">
      <w:headerReference w:type="default" r:id="rId8"/>
      <w:footerReference w:type="default" r:id="rId9"/>
      <w:pgSz w:w="12240" w:h="15840"/>
      <w:pgMar w:top="1440" w:right="1041" w:bottom="1440" w:left="1134"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DA98" w14:textId="77777777" w:rsidR="00292485" w:rsidRDefault="00292485" w:rsidP="00315BBC">
      <w:pPr>
        <w:spacing w:line="240" w:lineRule="auto"/>
      </w:pPr>
      <w:r>
        <w:separator/>
      </w:r>
    </w:p>
  </w:endnote>
  <w:endnote w:type="continuationSeparator" w:id="0">
    <w:p w14:paraId="1674868A" w14:textId="77777777" w:rsidR="00292485" w:rsidRDefault="00292485" w:rsidP="00315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5" w:type="dxa"/>
      <w:tblInd w:w="-5" w:type="dxa"/>
      <w:tblLayout w:type="fixed"/>
      <w:tblLook w:val="0000" w:firstRow="0" w:lastRow="0" w:firstColumn="0" w:lastColumn="0" w:noHBand="0" w:noVBand="0"/>
    </w:tblPr>
    <w:tblGrid>
      <w:gridCol w:w="3150"/>
      <w:gridCol w:w="3659"/>
      <w:gridCol w:w="3686"/>
    </w:tblGrid>
    <w:tr w:rsidR="00315BBC" w:rsidRPr="00315BBC" w14:paraId="302F2CE1" w14:textId="09EC3A72" w:rsidTr="00315BBC">
      <w:trPr>
        <w:trHeight w:val="340"/>
      </w:trPr>
      <w:tc>
        <w:tcPr>
          <w:tcW w:w="3150" w:type="dxa"/>
        </w:tcPr>
        <w:p w14:paraId="712222BF" w14:textId="77777777" w:rsidR="00315BBC" w:rsidRPr="00B3720A" w:rsidRDefault="00315BBC" w:rsidP="00315BBC">
          <w:pPr>
            <w:pStyle w:val="Footer"/>
          </w:pPr>
          <w:bookmarkStart w:id="0" w:name="Proj_name_cont" w:colFirst="0" w:colLast="0"/>
          <w:r w:rsidRPr="00B3720A">
            <w:t>F5 Networks</w:t>
          </w:r>
        </w:p>
      </w:tc>
      <w:tc>
        <w:tcPr>
          <w:tcW w:w="3659" w:type="dxa"/>
        </w:tcPr>
        <w:p w14:paraId="459BE6C8" w14:textId="77777777" w:rsidR="00315BBC" w:rsidRPr="00B3720A" w:rsidRDefault="00315BBC" w:rsidP="00315BBC">
          <w:pPr>
            <w:pStyle w:val="Footer"/>
            <w:jc w:val="center"/>
          </w:pPr>
          <w:r w:rsidRPr="00B3720A">
            <w:t>Confidential</w:t>
          </w:r>
        </w:p>
      </w:tc>
      <w:tc>
        <w:tcPr>
          <w:tcW w:w="3686" w:type="dxa"/>
        </w:tcPr>
        <w:p w14:paraId="08F167FE" w14:textId="77777777" w:rsidR="00315BBC" w:rsidRPr="00315BBC" w:rsidRDefault="00315BBC" w:rsidP="00315BBC">
          <w:pPr>
            <w:pStyle w:val="Footer"/>
            <w:tabs>
              <w:tab w:val="clear" w:pos="4680"/>
            </w:tabs>
            <w:jc w:val="right"/>
            <w:rPr>
              <w:rFonts w:cstheme="minorHAnsi"/>
            </w:rPr>
          </w:pPr>
          <w:r w:rsidRPr="00315BBC">
            <w:rPr>
              <w:rFonts w:cstheme="minorHAnsi"/>
            </w:rPr>
            <w:t xml:space="preserve">Page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PAGE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r w:rsidRPr="00315BBC">
            <w:rPr>
              <w:rStyle w:val="PageNumber"/>
              <w:rFonts w:asciiTheme="minorHAnsi" w:hAnsiTheme="minorHAnsi" w:cstheme="minorHAnsi"/>
            </w:rPr>
            <w:t xml:space="preserve"> of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NUMPAGES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p>
      </w:tc>
    </w:tr>
    <w:tr w:rsidR="00315BBC" w14:paraId="04F3B13A" w14:textId="77777777" w:rsidTr="00315BBC">
      <w:trPr>
        <w:trHeight w:val="340"/>
      </w:trPr>
      <w:tc>
        <w:tcPr>
          <w:tcW w:w="3150" w:type="dxa"/>
        </w:tcPr>
        <w:p w14:paraId="1CD970A8" w14:textId="77777777" w:rsidR="00315BBC" w:rsidRDefault="00315BBC" w:rsidP="00315BBC">
          <w:pPr>
            <w:pStyle w:val="Footer"/>
          </w:pPr>
          <w:bookmarkStart w:id="1" w:name="FooterVersion" w:colFirst="1" w:colLast="1"/>
          <w:bookmarkStart w:id="2" w:name="FooterTitle" w:colFirst="0" w:colLast="0"/>
          <w:bookmarkEnd w:id="0"/>
          <w:r>
            <w:t xml:space="preserve"> </w:t>
          </w:r>
        </w:p>
      </w:tc>
      <w:tc>
        <w:tcPr>
          <w:tcW w:w="3659" w:type="dxa"/>
        </w:tcPr>
        <w:p w14:paraId="5CC3AA5B" w14:textId="77777777" w:rsidR="00315BBC" w:rsidRDefault="00315BBC" w:rsidP="00315BBC">
          <w:pPr>
            <w:pStyle w:val="Footer"/>
          </w:pPr>
        </w:p>
      </w:tc>
      <w:tc>
        <w:tcPr>
          <w:tcW w:w="3686" w:type="dxa"/>
        </w:tcPr>
        <w:p w14:paraId="596B5048" w14:textId="77777777" w:rsidR="00315BBC" w:rsidRDefault="00315BBC" w:rsidP="00315BBC">
          <w:pPr>
            <w:pStyle w:val="Footer"/>
          </w:pPr>
        </w:p>
      </w:tc>
    </w:tr>
    <w:bookmarkEnd w:id="1"/>
    <w:bookmarkEnd w:id="2"/>
  </w:tbl>
  <w:p w14:paraId="4DFE2318" w14:textId="77777777" w:rsidR="00315BBC" w:rsidRDefault="00315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6B90" w14:textId="77777777" w:rsidR="00292485" w:rsidRDefault="00292485" w:rsidP="00315BBC">
      <w:pPr>
        <w:spacing w:line="240" w:lineRule="auto"/>
      </w:pPr>
      <w:r>
        <w:separator/>
      </w:r>
    </w:p>
  </w:footnote>
  <w:footnote w:type="continuationSeparator" w:id="0">
    <w:p w14:paraId="55B233E9" w14:textId="77777777" w:rsidR="00292485" w:rsidRDefault="00292485" w:rsidP="00315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CBB" w14:textId="04CFB905" w:rsidR="00315BBC" w:rsidRDefault="00315BBC">
    <w:pPr>
      <w:pStyle w:val="Header"/>
    </w:pPr>
    <w:r>
      <w:rPr>
        <w:noProof/>
      </w:rPr>
      <w:drawing>
        <wp:inline distT="0" distB="0" distL="0" distR="0" wp14:anchorId="2FF9B255" wp14:editId="193B4597">
          <wp:extent cx="638175" cy="571500"/>
          <wp:effectExtent l="0" t="0" r="9525" b="0"/>
          <wp:docPr id="10" name="Picture 10" descr="Full_Color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ll_Color_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AAAD2C8"/>
    <w:lvl w:ilvl="0">
      <w:start w:val="1"/>
      <w:numFmt w:val="decimal"/>
      <w:lvlText w:val="%1."/>
      <w:lvlJc w:val="left"/>
      <w:pPr>
        <w:tabs>
          <w:tab w:val="num" w:pos="643"/>
        </w:tabs>
        <w:ind w:left="643" w:hanging="360"/>
      </w:pPr>
    </w:lvl>
  </w:abstractNum>
  <w:abstractNum w:abstractNumId="1" w15:restartNumberingAfterBreak="0">
    <w:nsid w:val="0ABD3308"/>
    <w:multiLevelType w:val="hybridMultilevel"/>
    <w:tmpl w:val="FBCA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77699"/>
    <w:multiLevelType w:val="hybridMultilevel"/>
    <w:tmpl w:val="F698E6E0"/>
    <w:lvl w:ilvl="0" w:tplc="A302ECD0">
      <w:start w:val="1"/>
      <w:numFmt w:val="bullet"/>
      <w:pStyle w:val="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5B44A0"/>
    <w:multiLevelType w:val="hybridMultilevel"/>
    <w:tmpl w:val="F0627372"/>
    <w:lvl w:ilvl="0" w:tplc="F82A2D22">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22D1429"/>
    <w:multiLevelType w:val="multilevel"/>
    <w:tmpl w:val="894246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60847145">
    <w:abstractNumId w:val="4"/>
  </w:num>
  <w:num w:numId="2" w16cid:durableId="847019278">
    <w:abstractNumId w:val="4"/>
  </w:num>
  <w:num w:numId="3" w16cid:durableId="1194920282">
    <w:abstractNumId w:val="3"/>
  </w:num>
  <w:num w:numId="4" w16cid:durableId="773595054">
    <w:abstractNumId w:val="3"/>
  </w:num>
  <w:num w:numId="5" w16cid:durableId="1770782866">
    <w:abstractNumId w:val="4"/>
  </w:num>
  <w:num w:numId="6" w16cid:durableId="476842868">
    <w:abstractNumId w:val="4"/>
  </w:num>
  <w:num w:numId="7" w16cid:durableId="310446161">
    <w:abstractNumId w:val="4"/>
  </w:num>
  <w:num w:numId="8" w16cid:durableId="276719371">
    <w:abstractNumId w:val="4"/>
  </w:num>
  <w:num w:numId="9" w16cid:durableId="657928492">
    <w:abstractNumId w:val="4"/>
  </w:num>
  <w:num w:numId="10" w16cid:durableId="1448043991">
    <w:abstractNumId w:val="4"/>
  </w:num>
  <w:num w:numId="11" w16cid:durableId="1557355402">
    <w:abstractNumId w:val="1"/>
  </w:num>
  <w:num w:numId="12" w16cid:durableId="1287814666">
    <w:abstractNumId w:val="2"/>
  </w:num>
  <w:num w:numId="13" w16cid:durableId="301154592">
    <w:abstractNumId w:val="0"/>
  </w:num>
  <w:num w:numId="14" w16cid:durableId="992679901">
    <w:abstractNumId w:val="0"/>
  </w:num>
  <w:num w:numId="15" w16cid:durableId="1301154913">
    <w:abstractNumId w:val="0"/>
  </w:num>
  <w:num w:numId="16" w16cid:durableId="106170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7"/>
    <w:rsid w:val="000020CC"/>
    <w:rsid w:val="00030DE4"/>
    <w:rsid w:val="00050953"/>
    <w:rsid w:val="000579CD"/>
    <w:rsid w:val="00097C40"/>
    <w:rsid w:val="000D5E33"/>
    <w:rsid w:val="000E1638"/>
    <w:rsid w:val="001049AA"/>
    <w:rsid w:val="00120F31"/>
    <w:rsid w:val="00126F3A"/>
    <w:rsid w:val="001504C8"/>
    <w:rsid w:val="0018078B"/>
    <w:rsid w:val="00207D22"/>
    <w:rsid w:val="00220170"/>
    <w:rsid w:val="00221211"/>
    <w:rsid w:val="00292485"/>
    <w:rsid w:val="002C481A"/>
    <w:rsid w:val="002C6D20"/>
    <w:rsid w:val="00315BBC"/>
    <w:rsid w:val="00343B4E"/>
    <w:rsid w:val="0035010C"/>
    <w:rsid w:val="00351335"/>
    <w:rsid w:val="00352C04"/>
    <w:rsid w:val="003703CB"/>
    <w:rsid w:val="00385A4C"/>
    <w:rsid w:val="0039079E"/>
    <w:rsid w:val="00393002"/>
    <w:rsid w:val="003A4F08"/>
    <w:rsid w:val="003C5429"/>
    <w:rsid w:val="003D7215"/>
    <w:rsid w:val="003E08DF"/>
    <w:rsid w:val="003E7349"/>
    <w:rsid w:val="00406E1A"/>
    <w:rsid w:val="004151BE"/>
    <w:rsid w:val="00432988"/>
    <w:rsid w:val="004E6137"/>
    <w:rsid w:val="00561BF5"/>
    <w:rsid w:val="005810A2"/>
    <w:rsid w:val="00583301"/>
    <w:rsid w:val="005F6503"/>
    <w:rsid w:val="00601418"/>
    <w:rsid w:val="00610035"/>
    <w:rsid w:val="00633A94"/>
    <w:rsid w:val="0067332C"/>
    <w:rsid w:val="0069628D"/>
    <w:rsid w:val="006C2DF5"/>
    <w:rsid w:val="006C7003"/>
    <w:rsid w:val="006D3CB2"/>
    <w:rsid w:val="006E08E1"/>
    <w:rsid w:val="006E6DA8"/>
    <w:rsid w:val="006F09C3"/>
    <w:rsid w:val="007110E7"/>
    <w:rsid w:val="0071446F"/>
    <w:rsid w:val="00720E8A"/>
    <w:rsid w:val="00732F36"/>
    <w:rsid w:val="0076027C"/>
    <w:rsid w:val="007A2963"/>
    <w:rsid w:val="007A6094"/>
    <w:rsid w:val="007C2A78"/>
    <w:rsid w:val="00815ABE"/>
    <w:rsid w:val="008220E8"/>
    <w:rsid w:val="00830BA7"/>
    <w:rsid w:val="008351A1"/>
    <w:rsid w:val="00851FB0"/>
    <w:rsid w:val="008730F2"/>
    <w:rsid w:val="008760BB"/>
    <w:rsid w:val="00887B7B"/>
    <w:rsid w:val="008A4C17"/>
    <w:rsid w:val="008A6458"/>
    <w:rsid w:val="008A64DE"/>
    <w:rsid w:val="008B1383"/>
    <w:rsid w:val="008D12DD"/>
    <w:rsid w:val="008D700E"/>
    <w:rsid w:val="00900728"/>
    <w:rsid w:val="00921FFD"/>
    <w:rsid w:val="009557C6"/>
    <w:rsid w:val="00957232"/>
    <w:rsid w:val="00974F69"/>
    <w:rsid w:val="009D7EA5"/>
    <w:rsid w:val="00A52324"/>
    <w:rsid w:val="00A55DAB"/>
    <w:rsid w:val="00AB1418"/>
    <w:rsid w:val="00AD7782"/>
    <w:rsid w:val="00AD7E7E"/>
    <w:rsid w:val="00AE3BDC"/>
    <w:rsid w:val="00AE587D"/>
    <w:rsid w:val="00AF3CDC"/>
    <w:rsid w:val="00AF58E8"/>
    <w:rsid w:val="00B05B1C"/>
    <w:rsid w:val="00B12442"/>
    <w:rsid w:val="00B401DE"/>
    <w:rsid w:val="00B62684"/>
    <w:rsid w:val="00B809CA"/>
    <w:rsid w:val="00B87FAD"/>
    <w:rsid w:val="00BA6389"/>
    <w:rsid w:val="00BB7297"/>
    <w:rsid w:val="00BD57C3"/>
    <w:rsid w:val="00C50FA6"/>
    <w:rsid w:val="00C80817"/>
    <w:rsid w:val="00D20333"/>
    <w:rsid w:val="00D61A6C"/>
    <w:rsid w:val="00D8441E"/>
    <w:rsid w:val="00DF27F0"/>
    <w:rsid w:val="00E55738"/>
    <w:rsid w:val="00E652DC"/>
    <w:rsid w:val="00E70B5D"/>
    <w:rsid w:val="00E7554D"/>
    <w:rsid w:val="00F4718F"/>
    <w:rsid w:val="00F56A43"/>
    <w:rsid w:val="00F56FE3"/>
    <w:rsid w:val="00F642EF"/>
    <w:rsid w:val="00F947DB"/>
    <w:rsid w:val="00FF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D8E4"/>
  <w15:chartTrackingRefBased/>
  <w15:docId w15:val="{16A8381A-56B0-468D-8E4A-8AD67F18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88"/>
    <w:pPr>
      <w:spacing w:after="0" w:line="276" w:lineRule="auto"/>
    </w:pPr>
    <w:rPr>
      <w:rFonts w:eastAsiaTheme="minorEastAsia"/>
      <w:sz w:val="20"/>
    </w:rPr>
  </w:style>
  <w:style w:type="paragraph" w:styleId="Heading1">
    <w:name w:val="heading 1"/>
    <w:basedOn w:val="Normal"/>
    <w:next w:val="Normal"/>
    <w:link w:val="Heading1Char"/>
    <w:uiPriority w:val="9"/>
    <w:qFormat/>
    <w:rsid w:val="00F56A43"/>
    <w:pPr>
      <w:pageBreakBefore/>
      <w:widowControl w:val="0"/>
      <w:numPr>
        <w:numId w:val="10"/>
      </w:numPr>
      <w:pBdr>
        <w:bottom w:val="single" w:sz="4" w:space="1" w:color="auto"/>
      </w:pBdr>
      <w:spacing w:after="24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F56A43"/>
    <w:pPr>
      <w:keepNext/>
      <w:keepLines/>
      <w:numPr>
        <w:ilvl w:val="1"/>
        <w:numId w:val="10"/>
      </w:numPr>
      <w:spacing w:before="120" w:after="120" w:line="240" w:lineRule="auto"/>
      <w:outlineLvl w:val="1"/>
    </w:pPr>
    <w:rPr>
      <w:rFonts w:ascii="Calibri" w:eastAsiaTheme="majorEastAsia" w:hAnsi="Calibri" w:cstheme="majorBidi"/>
      <w:b/>
      <w:color w:val="000000" w:themeColor="text1"/>
      <w:sz w:val="28"/>
      <w:szCs w:val="26"/>
    </w:rPr>
  </w:style>
  <w:style w:type="paragraph" w:styleId="Heading3">
    <w:name w:val="heading 3"/>
    <w:basedOn w:val="Normal"/>
    <w:next w:val="Normal"/>
    <w:link w:val="Heading3Char"/>
    <w:uiPriority w:val="9"/>
    <w:unhideWhenUsed/>
    <w:qFormat/>
    <w:rsid w:val="00F56A43"/>
    <w:pPr>
      <w:keepNext/>
      <w:keepLines/>
      <w:numPr>
        <w:ilvl w:val="2"/>
        <w:numId w:val="10"/>
      </w:numPr>
      <w:spacing w:before="120" w:after="120" w:line="240" w:lineRule="auto"/>
      <w:outlineLvl w:val="2"/>
    </w:pPr>
    <w:rPr>
      <w:rFonts w:ascii="Calibri" w:eastAsiaTheme="majorEastAsia" w:hAnsi="Calibri" w:cstheme="majorBidi"/>
      <w:color w:val="000000" w:themeColor="text1"/>
      <w:sz w:val="26"/>
      <w:szCs w:val="24"/>
    </w:rPr>
  </w:style>
  <w:style w:type="paragraph" w:styleId="Heading4">
    <w:name w:val="heading 4"/>
    <w:basedOn w:val="Normal"/>
    <w:next w:val="Normal"/>
    <w:link w:val="Heading4Char"/>
    <w:uiPriority w:val="9"/>
    <w:unhideWhenUsed/>
    <w:qFormat/>
    <w:rsid w:val="00F56A43"/>
    <w:pPr>
      <w:keepNext/>
      <w:keepLines/>
      <w:numPr>
        <w:ilvl w:val="3"/>
        <w:numId w:val="1"/>
      </w:numPr>
      <w:spacing w:before="120" w:after="60" w:line="240" w:lineRule="auto"/>
      <w:ind w:left="0" w:firstLine="0"/>
      <w:outlineLvl w:val="3"/>
    </w:pPr>
    <w:rPr>
      <w:rFonts w:ascii="Calibri" w:eastAsiaTheme="majorEastAsia" w:hAnsi="Calibri" w:cstheme="majorBidi"/>
      <w:iCs/>
      <w:color w:val="000000" w:themeColor="text1"/>
    </w:rPr>
  </w:style>
  <w:style w:type="paragraph" w:styleId="Heading5">
    <w:name w:val="heading 5"/>
    <w:basedOn w:val="Normal"/>
    <w:next w:val="Normal"/>
    <w:link w:val="Heading5Char"/>
    <w:uiPriority w:val="9"/>
    <w:semiHidden/>
    <w:unhideWhenUsed/>
    <w:qFormat/>
    <w:rsid w:val="00F56A43"/>
    <w:pPr>
      <w:keepNext/>
      <w:keepLines/>
      <w:numPr>
        <w:ilvl w:val="4"/>
        <w:numId w:val="10"/>
      </w:numPr>
      <w:spacing w:before="120" w:after="60" w:line="240" w:lineRule="auto"/>
      <w:outlineLvl w:val="4"/>
    </w:pPr>
    <w:rPr>
      <w:rFonts w:ascii="Calibri" w:eastAsiaTheme="majorEastAsia" w:hAnsi="Calibr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_table_style"/>
    <w:basedOn w:val="GridTable1Light-Accent1"/>
    <w:uiPriority w:val="99"/>
    <w:rsid w:val="009557C6"/>
    <w:rPr>
      <w:rFonts w:eastAsiaTheme="minorEastAsia"/>
      <w:sz w:val="20"/>
      <w:szCs w:val="20"/>
      <w:lang w:val="en-AE"/>
    </w:rP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57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MediumList2-Accent1">
    <w:name w:val="Medium List 2 Accent 1"/>
    <w:basedOn w:val="TableNormal"/>
    <w:uiPriority w:val="66"/>
    <w:rsid w:val="009557C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aliases w:val="Table Results"/>
    <w:basedOn w:val="TableNormal"/>
    <w:uiPriority w:val="59"/>
    <w:rsid w:val="00B809CA"/>
    <w:pPr>
      <w:spacing w:after="0" w:line="240" w:lineRule="auto"/>
    </w:pPr>
    <w:rPr>
      <w:rFonts w:ascii="Calibri" w:eastAsiaTheme="minorEastAsia" w:hAnsi="Calibri"/>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 w:type="character" w:customStyle="1" w:styleId="Heading1Char">
    <w:name w:val="Heading 1 Char"/>
    <w:basedOn w:val="DefaultParagraphFont"/>
    <w:link w:val="Heading1"/>
    <w:uiPriority w:val="9"/>
    <w:rsid w:val="007C2A78"/>
    <w:rPr>
      <w:rFonts w:eastAsiaTheme="majorEastAsia" w:cstheme="majorBidi"/>
      <w:b/>
      <w:bCs/>
      <w:color w:val="000000" w:themeColor="text1"/>
      <w:sz w:val="32"/>
      <w:szCs w:val="28"/>
    </w:rPr>
  </w:style>
  <w:style w:type="character" w:customStyle="1" w:styleId="Heading2Char">
    <w:name w:val="Heading 2 Char"/>
    <w:basedOn w:val="DefaultParagraphFont"/>
    <w:link w:val="Heading2"/>
    <w:uiPriority w:val="9"/>
    <w:rsid w:val="00F56A43"/>
    <w:rPr>
      <w:rFonts w:ascii="Calibri" w:eastAsiaTheme="majorEastAsia" w:hAnsi="Calibri" w:cstheme="majorBidi"/>
      <w:b/>
      <w:color w:val="000000" w:themeColor="text1"/>
      <w:sz w:val="28"/>
      <w:szCs w:val="26"/>
    </w:rPr>
  </w:style>
  <w:style w:type="character" w:customStyle="1" w:styleId="Heading3Char">
    <w:name w:val="Heading 3 Char"/>
    <w:basedOn w:val="DefaultParagraphFont"/>
    <w:link w:val="Heading3"/>
    <w:uiPriority w:val="9"/>
    <w:rsid w:val="00F56A43"/>
    <w:rPr>
      <w:rFonts w:ascii="Calibri" w:eastAsiaTheme="majorEastAsia" w:hAnsi="Calibri" w:cstheme="majorBidi"/>
      <w:color w:val="000000" w:themeColor="text1"/>
      <w:sz w:val="26"/>
      <w:szCs w:val="24"/>
    </w:rPr>
  </w:style>
  <w:style w:type="character" w:customStyle="1" w:styleId="Heading4Char">
    <w:name w:val="Heading 4 Char"/>
    <w:basedOn w:val="DefaultParagraphFont"/>
    <w:link w:val="Heading4"/>
    <w:uiPriority w:val="9"/>
    <w:rsid w:val="00F56A43"/>
    <w:rPr>
      <w:rFonts w:ascii="Calibri" w:eastAsiaTheme="majorEastAsia" w:hAnsi="Calibri" w:cstheme="majorBidi"/>
      <w:iCs/>
      <w:color w:val="000000" w:themeColor="text1"/>
    </w:rPr>
  </w:style>
  <w:style w:type="character" w:customStyle="1" w:styleId="Heading5Char">
    <w:name w:val="Heading 5 Char"/>
    <w:basedOn w:val="DefaultParagraphFont"/>
    <w:link w:val="Heading5"/>
    <w:uiPriority w:val="9"/>
    <w:semiHidden/>
    <w:rsid w:val="00F56A43"/>
    <w:rPr>
      <w:rFonts w:ascii="Calibri" w:eastAsiaTheme="majorEastAsia" w:hAnsi="Calibri" w:cstheme="majorBidi"/>
    </w:rPr>
  </w:style>
  <w:style w:type="table" w:styleId="GridTable1Light-Accent5">
    <w:name w:val="Grid Table 1 Light Accent 5"/>
    <w:basedOn w:val="TableNormal"/>
    <w:uiPriority w:val="46"/>
    <w:rsid w:val="008A64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ecolumn">
    <w:name w:val="Table_column"/>
    <w:basedOn w:val="GridTable5Dark"/>
    <w:uiPriority w:val="99"/>
    <w:rsid w:val="008A64DE"/>
    <w:tbl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
    <w:name w:val="Grid Table 5 Dark"/>
    <w:basedOn w:val="TableNormal"/>
    <w:uiPriority w:val="50"/>
    <w:rsid w:val="008A64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rows">
    <w:name w:val="Table_rows"/>
    <w:basedOn w:val="TableGrid"/>
    <w:uiPriority w:val="99"/>
    <w:rsid w:val="004151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Calibri" w:hAnsi="Calibri"/>
        <w:b/>
        <w:bCs/>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top w:val="single" w:sz="4" w:space="0" w:color="000000" w:themeColor="text1"/>
          <w:left w:val="single" w:sz="4" w:space="0" w:color="000000" w:themeColor="text1"/>
          <w:bottom w:val="single" w:sz="4" w:space="0" w:color="000000" w:themeColor="text1"/>
          <w:right w:val="nil"/>
          <w:insideH w:val="single" w:sz="4" w:space="0" w:color="000000" w:themeColor="text1"/>
          <w:insideV w:val="single" w:sz="4" w:space="0" w:color="000000" w:themeColor="text1"/>
          <w:tl2br w:val="nil"/>
          <w:tr2bl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3">
    <w:name w:val="List Table 3 Accent 3"/>
    <w:basedOn w:val="TableNormal"/>
    <w:uiPriority w:val="48"/>
    <w:rsid w:val="00887B7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315BBC"/>
    <w:pPr>
      <w:tabs>
        <w:tab w:val="center" w:pos="4680"/>
        <w:tab w:val="right" w:pos="9360"/>
      </w:tabs>
      <w:spacing w:line="240" w:lineRule="auto"/>
    </w:pPr>
  </w:style>
  <w:style w:type="character" w:customStyle="1" w:styleId="HeaderChar">
    <w:name w:val="Header Char"/>
    <w:basedOn w:val="DefaultParagraphFont"/>
    <w:link w:val="Header"/>
    <w:uiPriority w:val="99"/>
    <w:rsid w:val="00315BBC"/>
    <w:rPr>
      <w:rFonts w:eastAsiaTheme="minorEastAsia"/>
      <w:sz w:val="20"/>
    </w:rPr>
  </w:style>
  <w:style w:type="paragraph" w:styleId="Footer">
    <w:name w:val="footer"/>
    <w:basedOn w:val="Normal"/>
    <w:link w:val="FooterChar"/>
    <w:unhideWhenUsed/>
    <w:rsid w:val="00315BBC"/>
    <w:pPr>
      <w:tabs>
        <w:tab w:val="center" w:pos="4680"/>
        <w:tab w:val="right" w:pos="9360"/>
      </w:tabs>
      <w:spacing w:line="240" w:lineRule="auto"/>
    </w:pPr>
  </w:style>
  <w:style w:type="character" w:customStyle="1" w:styleId="FooterChar">
    <w:name w:val="Footer Char"/>
    <w:basedOn w:val="DefaultParagraphFont"/>
    <w:link w:val="Footer"/>
    <w:uiPriority w:val="99"/>
    <w:rsid w:val="00315BBC"/>
    <w:rPr>
      <w:rFonts w:eastAsiaTheme="minorEastAsia"/>
      <w:sz w:val="20"/>
    </w:rPr>
  </w:style>
  <w:style w:type="character" w:styleId="PageNumber">
    <w:name w:val="page number"/>
    <w:basedOn w:val="DefaultParagraphFont"/>
    <w:rsid w:val="00315BBC"/>
    <w:rPr>
      <w:rFonts w:ascii="Arial" w:hAnsi="Arial"/>
    </w:rPr>
  </w:style>
  <w:style w:type="paragraph" w:styleId="TOCHeading">
    <w:name w:val="TOC Heading"/>
    <w:basedOn w:val="Heading1"/>
    <w:next w:val="Normal"/>
    <w:uiPriority w:val="39"/>
    <w:unhideWhenUsed/>
    <w:qFormat/>
    <w:rsid w:val="002C481A"/>
    <w:pPr>
      <w:keepNext/>
      <w:keepLines/>
      <w:pageBreakBefore w:val="0"/>
      <w:widowControl/>
      <w:numPr>
        <w:numId w:val="0"/>
      </w:numPr>
      <w:pBdr>
        <w:bottom w:val="none" w:sz="0" w:space="0" w:color="auto"/>
      </w:pBdr>
      <w:spacing w:before="240" w:after="0" w:line="259" w:lineRule="auto"/>
      <w:outlineLvl w:val="9"/>
    </w:pPr>
    <w:rPr>
      <w:rFonts w:asciiTheme="majorHAnsi" w:hAnsiTheme="majorHAnsi"/>
      <w:b w:val="0"/>
      <w:bCs w:val="0"/>
      <w:color w:val="2F5496" w:themeColor="accent1" w:themeShade="BF"/>
      <w:szCs w:val="32"/>
    </w:rPr>
  </w:style>
  <w:style w:type="paragraph" w:styleId="IntenseQuote">
    <w:name w:val="Intense Quote"/>
    <w:aliases w:val="Critical"/>
    <w:basedOn w:val="Normal"/>
    <w:next w:val="Normal"/>
    <w:link w:val="IntenseQuoteChar"/>
    <w:uiPriority w:val="30"/>
    <w:qFormat/>
    <w:rsid w:val="00030DE4"/>
    <w:pPr>
      <w:pBdr>
        <w:top w:val="single" w:sz="4" w:space="10" w:color="000000" w:themeColor="text1"/>
        <w:bottom w:val="single" w:sz="4" w:space="10" w:color="000000" w:themeColor="text1"/>
      </w:pBdr>
      <w:spacing w:before="120"/>
    </w:pPr>
    <w:rPr>
      <w:iCs/>
      <w:color w:val="000000" w:themeColor="text1"/>
    </w:rPr>
  </w:style>
  <w:style w:type="character" w:customStyle="1" w:styleId="IntenseQuoteChar">
    <w:name w:val="Intense Quote Char"/>
    <w:aliases w:val="Critical Char"/>
    <w:basedOn w:val="DefaultParagraphFont"/>
    <w:link w:val="IntenseQuote"/>
    <w:uiPriority w:val="30"/>
    <w:rsid w:val="00030DE4"/>
    <w:rPr>
      <w:rFonts w:eastAsiaTheme="minorEastAsia"/>
      <w:iCs/>
      <w:color w:val="000000" w:themeColor="text1"/>
      <w:sz w:val="20"/>
    </w:rPr>
  </w:style>
  <w:style w:type="paragraph" w:styleId="ListParagraph">
    <w:name w:val="List Paragraph"/>
    <w:basedOn w:val="Normal"/>
    <w:uiPriority w:val="34"/>
    <w:qFormat/>
    <w:rsid w:val="00207D22"/>
    <w:pPr>
      <w:ind w:left="720"/>
      <w:contextualSpacing/>
    </w:pPr>
  </w:style>
  <w:style w:type="paragraph" w:customStyle="1" w:styleId="ListBullet1">
    <w:name w:val="List Bullet1"/>
    <w:basedOn w:val="ListParagraph"/>
    <w:qFormat/>
    <w:rsid w:val="006C2DF5"/>
    <w:pPr>
      <w:numPr>
        <w:numId w:val="12"/>
      </w:numPr>
      <w:spacing w:after="160" w:line="259" w:lineRule="auto"/>
    </w:pPr>
    <w:rPr>
      <w:rFonts w:cs="Times New Roman (Body CS)"/>
    </w:rPr>
  </w:style>
  <w:style w:type="character" w:styleId="SubtleReference">
    <w:name w:val="Subtle Reference"/>
    <w:basedOn w:val="DefaultParagraphFont"/>
    <w:uiPriority w:val="31"/>
    <w:qFormat/>
    <w:rsid w:val="006C7003"/>
    <w:rPr>
      <w:smallCaps/>
      <w:color w:val="5A5A5A" w:themeColor="text1" w:themeTint="A5"/>
    </w:rPr>
  </w:style>
  <w:style w:type="paragraph" w:styleId="Subtitle">
    <w:name w:val="Subtitle"/>
    <w:basedOn w:val="Normal"/>
    <w:next w:val="Normal"/>
    <w:link w:val="SubtitleChar"/>
    <w:uiPriority w:val="11"/>
    <w:qFormat/>
    <w:rsid w:val="006C7003"/>
    <w:pPr>
      <w:numPr>
        <w:ilvl w:val="1"/>
      </w:numPr>
      <w:spacing w:after="160"/>
    </w:pPr>
    <w:rPr>
      <w:color w:val="5A5A5A" w:themeColor="text1" w:themeTint="A5"/>
      <w:spacing w:val="15"/>
      <w:sz w:val="22"/>
    </w:rPr>
  </w:style>
  <w:style w:type="character" w:customStyle="1" w:styleId="SubtitleChar">
    <w:name w:val="Subtitle Char"/>
    <w:basedOn w:val="DefaultParagraphFont"/>
    <w:link w:val="Subtitle"/>
    <w:uiPriority w:val="11"/>
    <w:rsid w:val="006C7003"/>
    <w:rPr>
      <w:rFonts w:eastAsiaTheme="minorEastAsia"/>
      <w:color w:val="5A5A5A" w:themeColor="text1" w:themeTint="A5"/>
      <w:spacing w:val="15"/>
    </w:rPr>
  </w:style>
  <w:style w:type="character" w:styleId="SubtleEmphasis">
    <w:name w:val="Subtle Emphasis"/>
    <w:basedOn w:val="DefaultParagraphFont"/>
    <w:uiPriority w:val="19"/>
    <w:qFormat/>
    <w:rsid w:val="006C7003"/>
    <w:rPr>
      <w:i/>
      <w:iCs/>
      <w:color w:val="404040" w:themeColor="text1" w:themeTint="BF"/>
    </w:rPr>
  </w:style>
  <w:style w:type="paragraph" w:customStyle="1" w:styleId="sevHigh">
    <w:name w:val="sevHigh"/>
    <w:basedOn w:val="Normal"/>
    <w:qFormat/>
    <w:rsid w:val="001049AA"/>
    <w:pPr>
      <w:spacing w:after="160" w:line="259" w:lineRule="auto"/>
      <w:ind w:left="720"/>
      <w:jc w:val="right"/>
    </w:pPr>
    <w:rPr>
      <w:b/>
      <w:color w:val="EE0000"/>
      <w:sz w:val="16"/>
    </w:rPr>
  </w:style>
  <w:style w:type="paragraph" w:customStyle="1" w:styleId="sevMedium">
    <w:name w:val="sevMedium"/>
    <w:basedOn w:val="Normal"/>
    <w:qFormat/>
    <w:rsid w:val="001049AA"/>
    <w:pPr>
      <w:spacing w:after="160" w:line="259" w:lineRule="auto"/>
      <w:ind w:left="720"/>
      <w:jc w:val="right"/>
    </w:pPr>
    <w:rPr>
      <w:b/>
      <w:color w:val="ED7D31" w:themeColor="accent2"/>
      <w:sz w:val="16"/>
    </w:rPr>
  </w:style>
  <w:style w:type="paragraph" w:customStyle="1" w:styleId="sevLow">
    <w:name w:val="sevLow"/>
    <w:basedOn w:val="Normal"/>
    <w:qFormat/>
    <w:rsid w:val="001049AA"/>
    <w:pPr>
      <w:spacing w:after="160" w:line="259" w:lineRule="auto"/>
      <w:ind w:left="720"/>
      <w:jc w:val="right"/>
    </w:pPr>
    <w:rPr>
      <w:b/>
      <w:color w:val="5B9BD5" w:themeColor="accent5"/>
      <w:sz w:val="16"/>
    </w:rPr>
  </w:style>
  <w:style w:type="paragraph" w:customStyle="1" w:styleId="sevCritical">
    <w:name w:val="sevCritical"/>
    <w:basedOn w:val="Normal"/>
    <w:qFormat/>
    <w:rsid w:val="001049AA"/>
    <w:pPr>
      <w:spacing w:after="160" w:line="259" w:lineRule="auto"/>
      <w:ind w:left="720"/>
      <w:jc w:val="right"/>
    </w:pPr>
    <w:rPr>
      <w:b/>
      <w:color w:val="C00000"/>
      <w:sz w:val="16"/>
    </w:rPr>
  </w:style>
  <w:style w:type="paragraph" w:customStyle="1" w:styleId="sevInfo">
    <w:name w:val="sevInfo"/>
    <w:basedOn w:val="sevLow"/>
    <w:qFormat/>
    <w:rsid w:val="000020CC"/>
    <w:rPr>
      <w:noProof/>
      <w:color w:val="70AD47" w:themeColor="accent6"/>
    </w:rPr>
  </w:style>
  <w:style w:type="table" w:customStyle="1" w:styleId="MyTable">
    <w:name w:val="MyTable"/>
    <w:basedOn w:val="TableGrid"/>
    <w:uiPriority w:val="99"/>
    <w:rsid w:val="00DF27F0"/>
    <w:rPr>
      <w:sz w:val="11"/>
    </w:rPr>
    <w:tblPr>
      <w:tblStyleRowBandSize w:val="1"/>
    </w:tbl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deridis\AppData\Roaming\Microsoft\Templates\My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88F4-4A28-F84A-9496-E2209338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C:\Users\skenderidis\AppData\Roaming\Microsoft\Templates\My_Template.dotm</Template>
  <TotalTime>41</TotalTime>
  <Pages>2</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Skenderidis</dc:creator>
  <cp:keywords/>
  <dc:description/>
  <cp:lastModifiedBy>Kostas Skenderidis</cp:lastModifiedBy>
  <cp:revision>41</cp:revision>
  <dcterms:created xsi:type="dcterms:W3CDTF">2018-08-26T05:32:00Z</dcterms:created>
  <dcterms:modified xsi:type="dcterms:W3CDTF">2025-12-26T14:05:00Z</dcterms:modified>
</cp:coreProperties>
</file>