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78FB" w14:textId="73225CB5" w:rsidR="0071446F" w:rsidRPr="006C7003" w:rsidRDefault="0071446F" w:rsidP="006C7003">
      <w:pPr>
        <w:pStyle w:val="Subtitle"/>
        <w:rPr>
          <w:rStyle w:val="SubtleReference"/>
        </w:rPr>
      </w:pPr>
    </w:p>
    <w:p w14:paraId="084B8C2F" w14:textId="554DA770" w:rsidR="00432988" w:rsidRDefault="00432988" w:rsidP="00315BBC"/>
    <w:p w14:paraId="1F1D4EA7" w14:textId="77777777" w:rsidR="00432988" w:rsidRDefault="00432988" w:rsidP="00315BBC"/>
    <w:p w14:paraId="0ABACB52" w14:textId="3B16CABA" w:rsidR="00315BBC" w:rsidRDefault="00315BBC"/>
    <w:p w14:paraId="746C156A" w14:textId="717E6729" w:rsidR="00315BBC" w:rsidRDefault="00315BBC"/>
    <w:p w14:paraId="19488037" w14:textId="0D6B7C40" w:rsidR="00315BBC" w:rsidRDefault="00315BBC"/>
    <w:p w14:paraId="07D81F21" w14:textId="77777777" w:rsidR="00315BBC" w:rsidRPr="00315BBC" w:rsidRDefault="00315BBC" w:rsidP="00315BBC">
      <w:pPr>
        <w:jc w:val="center"/>
        <w:rPr>
          <w:b/>
          <w:sz w:val="72"/>
        </w:rPr>
      </w:pPr>
      <w:r w:rsidRPr="00315BBC">
        <w:rPr>
          <w:b/>
          <w:sz w:val="72"/>
        </w:rPr>
        <w:t>Configuration Review</w:t>
      </w:r>
    </w:p>
    <w:p w14:paraId="092EE193" w14:textId="77777777" w:rsidR="00315BBC" w:rsidRPr="00315BBC" w:rsidRDefault="00315BBC" w:rsidP="00315BBC">
      <w:pPr>
        <w:jc w:val="center"/>
        <w:rPr>
          <w:sz w:val="72"/>
        </w:rPr>
      </w:pPr>
      <w:r w:rsidRPr="00315BBC">
        <w:rPr>
          <w:sz w:val="72"/>
        </w:rPr>
        <w:t>For</w:t>
      </w:r>
    </w:p>
    <w:p w14:paraId="66907ACC" w14:textId="77777777" w:rsidR="00315BBC" w:rsidRPr="00315BBC" w:rsidRDefault="00315BBC" w:rsidP="00315BBC">
      <w:pPr>
        <w:jc w:val="center"/>
        <w:rPr>
          <w:b/>
          <w:sz w:val="72"/>
        </w:rPr>
      </w:pPr>
      <w:r w:rsidRPr="00315BBC">
        <w:rPr>
          <w:b/>
          <w:sz w:val="72"/>
        </w:rPr>
        <w:t>Customer</w:t>
      </w:r>
    </w:p>
    <w:p w14:paraId="41F473AA" w14:textId="77777777" w:rsidR="00315BBC" w:rsidRDefault="00315BBC" w:rsidP="00315BBC">
      <w:pPr>
        <w:jc w:val="center"/>
        <w:rPr>
          <w:b/>
          <w:sz w:val="28"/>
        </w:rPr>
      </w:pPr>
    </w:p>
    <w:p w14:paraId="36375CC4" w14:textId="797C007D" w:rsidR="00315BBC" w:rsidRDefault="00315BBC" w:rsidP="00315BBC">
      <w:pPr>
        <w:jc w:val="center"/>
        <w:rPr>
          <w:b/>
          <w:sz w:val="28"/>
        </w:rPr>
      </w:pPr>
    </w:p>
    <w:p w14:paraId="252BBAB7" w14:textId="19A6C956" w:rsidR="00432988" w:rsidRDefault="00432988" w:rsidP="00315BBC">
      <w:pPr>
        <w:jc w:val="center"/>
        <w:rPr>
          <w:b/>
          <w:sz w:val="28"/>
        </w:rPr>
      </w:pPr>
    </w:p>
    <w:p w14:paraId="2E86AD54" w14:textId="77777777" w:rsidR="00432988" w:rsidRDefault="00432988" w:rsidP="00315BBC">
      <w:pPr>
        <w:jc w:val="center"/>
        <w:rPr>
          <w:b/>
          <w:sz w:val="28"/>
        </w:rPr>
      </w:pPr>
    </w:p>
    <w:p w14:paraId="56EC4B3B" w14:textId="420EEA47" w:rsidR="00432988" w:rsidRDefault="00432988" w:rsidP="00315BBC">
      <w:pPr>
        <w:jc w:val="center"/>
        <w:rPr>
          <w:b/>
          <w:sz w:val="28"/>
        </w:rPr>
      </w:pPr>
    </w:p>
    <w:p w14:paraId="513E8972" w14:textId="77777777" w:rsidR="00432988" w:rsidRDefault="00432988" w:rsidP="00315BBC">
      <w:pPr>
        <w:jc w:val="center"/>
        <w:rPr>
          <w:b/>
          <w:sz w:val="28"/>
        </w:rPr>
      </w:pPr>
    </w:p>
    <w:p w14:paraId="6F8A548D" w14:textId="3F742124" w:rsidR="00315BBC" w:rsidRDefault="00432988" w:rsidP="00315BBC">
      <w:pPr>
        <w:jc w:val="center"/>
        <w:rPr>
          <w:b/>
          <w:sz w:val="28"/>
        </w:rPr>
      </w:pPr>
      <w:r>
        <w:rPr>
          <w:b/>
          <w:sz w:val="28"/>
        </w:rPr>
        <w:t>“Location”</w:t>
      </w:r>
    </w:p>
    <w:p w14:paraId="39792FB7" w14:textId="79284396" w:rsidR="00315BBC" w:rsidRDefault="00315BBC" w:rsidP="00315BBC">
      <w:pPr>
        <w:jc w:val="center"/>
        <w:rPr>
          <w:b/>
          <w:sz w:val="28"/>
        </w:rPr>
      </w:pPr>
    </w:p>
    <w:p w14:paraId="18B5D5F8" w14:textId="12DE43F8" w:rsidR="00315BBC" w:rsidRDefault="00315BBC" w:rsidP="00315BBC">
      <w:pPr>
        <w:jc w:val="center"/>
        <w:rPr>
          <w:b/>
          <w:sz w:val="28"/>
        </w:rPr>
      </w:pPr>
    </w:p>
    <w:p w14:paraId="73E22F66" w14:textId="572F6539" w:rsidR="00315BBC" w:rsidRDefault="00315BBC" w:rsidP="00315BBC">
      <w:pPr>
        <w:jc w:val="center"/>
        <w:rPr>
          <w:b/>
          <w:sz w:val="28"/>
        </w:rPr>
      </w:pPr>
      <w:r>
        <w:rPr>
          <w:b/>
          <w:sz w:val="28"/>
        </w:rPr>
        <w:br/>
      </w:r>
    </w:p>
    <w:p w14:paraId="504B23A2" w14:textId="65283878" w:rsidR="00315BBC" w:rsidRDefault="00315BBC" w:rsidP="00315BBC">
      <w:pPr>
        <w:jc w:val="center"/>
        <w:rPr>
          <w:b/>
          <w:sz w:val="28"/>
        </w:rPr>
      </w:pPr>
    </w:p>
    <w:p w14:paraId="530B3DFE" w14:textId="77777777" w:rsidR="00432988" w:rsidRDefault="00432988" w:rsidP="00315BBC">
      <w:pPr>
        <w:jc w:val="center"/>
        <w:rPr>
          <w:b/>
          <w:sz w:val="28"/>
        </w:rPr>
      </w:pPr>
    </w:p>
    <w:p w14:paraId="1ADA973E" w14:textId="672BCA94" w:rsidR="00315BBC" w:rsidRDefault="00315BBC" w:rsidP="00315BBC">
      <w:pPr>
        <w:jc w:val="center"/>
        <w:rPr>
          <w:b/>
          <w:sz w:val="28"/>
        </w:rPr>
      </w:pPr>
    </w:p>
    <w:p w14:paraId="16078CC0" w14:textId="3AAF5454" w:rsidR="00432988" w:rsidRDefault="00432988" w:rsidP="00315BBC">
      <w:pPr>
        <w:jc w:val="center"/>
        <w:rPr>
          <w:b/>
          <w:sz w:val="28"/>
        </w:rPr>
      </w:pPr>
    </w:p>
    <w:p w14:paraId="7342E54B" w14:textId="686352B9" w:rsidR="00432988" w:rsidRDefault="00432988" w:rsidP="00315BBC">
      <w:pPr>
        <w:jc w:val="center"/>
        <w:rPr>
          <w:b/>
          <w:sz w:val="28"/>
        </w:rPr>
      </w:pPr>
    </w:p>
    <w:p w14:paraId="45697360" w14:textId="77777777" w:rsidR="00432988" w:rsidRDefault="00432988" w:rsidP="00315BBC">
      <w:pPr>
        <w:jc w:val="center"/>
        <w:rPr>
          <w:b/>
          <w:sz w:val="28"/>
        </w:rPr>
      </w:pPr>
    </w:p>
    <w:p w14:paraId="2D331321" w14:textId="1B719456" w:rsidR="00315BBC" w:rsidRPr="00315BBC" w:rsidRDefault="00315BBC" w:rsidP="00315BBC">
      <w:pPr>
        <w:rPr>
          <w:sz w:val="16"/>
        </w:rPr>
      </w:pPr>
    </w:p>
    <w:p w14:paraId="2188DC60" w14:textId="1E9405F6" w:rsidR="00315BBC" w:rsidRPr="00315BBC" w:rsidRDefault="00315BBC" w:rsidP="00315BBC">
      <w:pPr>
        <w:rPr>
          <w:sz w:val="16"/>
        </w:rPr>
      </w:pPr>
      <w:r w:rsidRPr="00315BBC">
        <w:rPr>
          <w:sz w:val="16"/>
        </w:rPr>
        <w:t xml:space="preserve">Copyright of F5 Networks </w:t>
      </w:r>
      <w:r w:rsidR="00F4718F">
        <w:rPr>
          <w:sz w:val="16"/>
        </w:rPr>
        <w:t>2026</w:t>
      </w:r>
      <w:r w:rsidRPr="00315BBC">
        <w:rPr>
          <w:sz w:val="16"/>
        </w:rPr>
        <w:t>. All rights reserved</w:t>
      </w:r>
    </w:p>
    <w:p w14:paraId="3DBFCBB7" w14:textId="1ECF4C62" w:rsidR="002C481A" w:rsidRDefault="00315BBC" w:rsidP="00B401DE">
      <w:pPr>
        <w:rPr>
          <w:sz w:val="16"/>
        </w:rPr>
      </w:pPr>
      <w:r w:rsidRPr="00315BBC">
        <w:rPr>
          <w:sz w:val="16"/>
        </w:rPr>
        <w:t>Copyright in this work is vested in F5 Networks and the information contained herein is confidential.  This work (either in whole or in part) must not be modified, reproduced, disclosed or disseminated to others or used for purposes other than that for which it is supplied, without the prior written permission of F5 Networks.  If this work or any part hereof is furnished to a third party by virtue of a contract with that party, use of this work by such party shall be governed by the express contractual terms between the F5 Networks company which is a party to that contract and the said party</w:t>
      </w:r>
    </w:p>
    <w:sdt>
      <w:sdtPr>
        <w:rPr>
          <w:rFonts w:eastAsiaTheme="minorEastAsia" w:cstheme="minorBidi"/>
          <w:b w:val="0"/>
          <w:bCs w:val="0"/>
          <w:color w:val="auto"/>
          <w:sz w:val="20"/>
          <w:szCs w:val="22"/>
        </w:rPr>
        <w:id w:val="-805009506"/>
        <w:docPartObj>
          <w:docPartGallery w:val="Table of Contents"/>
          <w:docPartUnique/>
        </w:docPartObj>
      </w:sdtPr>
      <w:sdtEndPr>
        <w:rPr>
          <w:noProof/>
        </w:rPr>
      </w:sdtEndPr>
      <w:sdtContent>
        <w:p w14:paraId="6E3F6B38" w14:textId="4C69E5C6" w:rsidR="002C481A" w:rsidRDefault="002C481A" w:rsidP="002C481A">
          <w:pPr>
            <w:pStyle w:val="Heading1"/>
          </w:pPr>
          <w:r>
            <w:t>Contents</w:t>
          </w:r>
        </w:p>
        <w:p w14:paraId="2DA539CD" w14:textId="03606A2E" w:rsidR="00B809CA" w:rsidRPr="006C7003" w:rsidRDefault="002C481A" w:rsidP="000020CC">
          <w:pPr>
            <w:rPr>
              <w:rStyle w:val="SubtleEmphasis"/>
              <w:i w:val="0"/>
              <w:iCs w:val="0"/>
              <w:noProof/>
              <w:color w:val="auto"/>
            </w:rPr>
          </w:pPr>
          <w:r>
            <w:rPr>
              <w:b/>
              <w:bCs/>
              <w:noProof/>
            </w:rPr>
            <w:fldChar w:fldCharType="begin"/>
          </w:r>
          <w:r>
            <w:rPr>
              <w:b/>
              <w:bCs/>
              <w:noProof/>
            </w:rPr>
            <w:instrText xml:space="preserve"> TOC \o "1-3" \h \z \u </w:instrText>
          </w:r>
          <w:r>
            <w:rPr>
              <w:b/>
              <w:bCs/>
              <w:noProof/>
            </w:rPr>
            <w:fldChar w:fldCharType="separate"/>
          </w:r>
          <w:r>
            <w:rPr>
              <w:noProof/>
            </w:rPr>
            <w:t>No table of contents entries found.</w:t>
          </w:r>
          <w:r>
            <w:rPr>
              <w:b/>
              <w:bCs/>
              <w:noProof/>
            </w:rPr>
            <w:fldChar w:fldCharType="end"/>
          </w:r>
        </w:p>
      </w:sdtContent>
    </w:sdt>
    <w:p>
      <w:pPr>
        <w:pStyle w:val="Heading1"/>
      </w:pPr>
      <w:r>
        <w:t>F5 LTM Configuration Review</w:t>
      </w:r>
    </w:p>
    <w:p>
      <w:r>
        <w:t>During the meetings with Kostas and the configuration reviews we did on the F5 appliances we present our findings in this report.</w:t>
      </w:r>
    </w:p>
    <w:p>
      <w:r>
        <w:t>This document presents the findings of the F5 BIG-IP Local Traffic Manager (LTM) configuration review performed for Kostas. The purpose of this review is to provide an in-depth assessment of the current BIG-IP configuration, highlight areas of improvement, and validate whether the deployment follows F5 recommended practices and aligns with industry standards.</w:t>
      </w:r>
    </w:p>
    <w:p>
      <w:r>
        <w:t>Throughout the audit, our goal is to help ensure that the BIG-IP platform is operating in a reliable, secure, and efficient manner. By examining the key configuration components of the system, we aim to identify potential misconfigurations, performance bottlenecks, unnecessary complexity, or settings that could introduce operational risk. The outcome of this review is to provide actionable insights that can enhance stability, improve resilience, and optimize traffic management across the environment.</w:t>
      </w:r>
    </w:p>
    <w:p>
      <w:r>
        <w:t>This report also serves as a valuable reference point for future architectural decisions. Whether the customer intends to scale the environment, introduce new services, upgrade software versions, or improve operational processes, the observations in this document provide a baseline understanding of the current state of the configuration. This visibility enables more informed planning and supports long-term maintainability.</w:t>
      </w:r>
    </w:p>
    <w:p>
      <w:r>
        <w:t>While the audit focuses on the technical configuration of the F5 LTM objects, it is not intended to assess application-level logic or behavior.</w:t>
      </w:r>
    </w:p>
    <w:p/>
    <w:p/>
    <w:p>
      <w:pPr>
        <w:pStyle w:val="Heading2"/>
      </w:pPr>
      <w:r>
        <w:t>Device Details</w:t>
      </w:r>
    </w:p>
    <w:p>
      <w:r>
        <w:t>The following table shows the general configuration from the devices that we have audited. The date and time of the report generation is Mon Dec 22 19:00:57 PST 2025</w:t>
      </w:r>
    </w:p>
    <w:tbl>
      <w:tblPr>
        <w:tblStyle w:val="TableGrid"/>
        <w:tblW w:type="auto" w:w="0"/>
        <w:tblLook w:firstColumn="1" w:firstRow="1" w:lastColumn="0" w:lastRow="0" w:noHBand="0" w:noVBand="1" w:val="04A0"/>
      </w:tblPr>
      <w:tblGrid>
        <w:gridCol w:w="5032"/>
        <w:gridCol w:w="5032"/>
      </w:tblGrid>
      <w:tr>
        <w:tc>
          <w:tcPr>
            <w:tcW w:type="dxa" w:w="10064"/>
            <w:gridSpan w:val="2"/>
          </w:tcPr>
          <w:p>
            <w:r>
              <w:t>Device Details</w:t>
            </w:r>
          </w:p>
        </w:tc>
      </w:tr>
      <w:tr>
        <w:tc>
          <w:tcPr>
            <w:tcW w:type="dxa" w:w="5032"/>
          </w:tcPr>
          <w:p>
            <w:r>
              <w:t>Platform</w:t>
            </w:r>
          </w:p>
        </w:tc>
        <w:tc>
          <w:tcPr>
            <w:tcW w:type="dxa" w:w="5032"/>
          </w:tcPr>
          <w:p>
            <w:r>
              <w:t>BIG-IP Virtual Edition</w:t>
            </w:r>
          </w:p>
        </w:tc>
      </w:tr>
      <w:tr>
        <w:tc>
          <w:tcPr>
            <w:tcW w:type="dxa" w:w="5032"/>
          </w:tcPr>
          <w:p>
            <w:r>
              <w:t>Hostname</w:t>
            </w:r>
          </w:p>
        </w:tc>
        <w:tc>
          <w:tcPr>
            <w:tcW w:type="dxa" w:w="5032"/>
          </w:tcPr>
          <w:p>
            <w:r>
              <w:t>bigip1.f5k8s.net</w:t>
            </w:r>
          </w:p>
        </w:tc>
      </w:tr>
      <w:tr>
        <w:tc>
          <w:tcPr>
            <w:tcW w:type="dxa" w:w="5032"/>
          </w:tcPr>
          <w:p>
            <w:r>
              <w:t>Version</w:t>
            </w:r>
          </w:p>
        </w:tc>
        <w:tc>
          <w:tcPr>
            <w:tcW w:type="dxa" w:w="5032"/>
          </w:tcPr>
          <w:p>
            <w:r>
              <w:t>17.1.2.1</w:t>
            </w:r>
          </w:p>
        </w:tc>
      </w:tr>
      <w:tr>
        <w:tc>
          <w:tcPr>
            <w:tcW w:type="dxa" w:w="5032"/>
          </w:tcPr>
          <w:p>
            <w:r>
              <w:t>Chassis ID</w:t>
            </w:r>
          </w:p>
        </w:tc>
        <w:tc>
          <w:tcPr>
            <w:tcW w:type="dxa" w:w="5032"/>
          </w:tcPr>
          <w:p>
            <w:r>
              <w:t>9a18a26f-6754-444d-66d2bb2694a7</w:t>
            </w:r>
          </w:p>
        </w:tc>
      </w:tr>
      <w:tr>
        <w:tc>
          <w:tcPr>
            <w:tcW w:type="dxa" w:w="5032"/>
          </w:tcPr>
          <w:p>
            <w:r>
              <w:t>DNS Servers</w:t>
            </w:r>
          </w:p>
        </w:tc>
        <w:tc>
          <w:tcPr>
            <w:tcW w:type="dxa" w:w="5032"/>
          </w:tcPr>
          <w:p>
            <w:r>
              <w:t>10.1.1.2</w:t>
            </w:r>
          </w:p>
        </w:tc>
      </w:tr>
      <w:tr>
        <w:tc>
          <w:tcPr>
            <w:tcW w:type="dxa" w:w="5032"/>
          </w:tcPr>
          <w:p>
            <w:r>
              <w:t>NTP Servers</w:t>
            </w:r>
          </w:p>
        </w:tc>
        <w:tc>
          <w:tcPr>
            <w:tcW w:type="dxa" w:w="5032"/>
          </w:tcPr>
          <w:p>
            <w:r>
              <w:t>not configured</w:t>
            </w:r>
          </w:p>
        </w:tc>
      </w:tr>
      <w:tr>
        <w:tc>
          <w:tcPr>
            <w:tcW w:type="dxa" w:w="5032"/>
          </w:tcPr>
          <w:p>
            <w:r>
              <w:t>Time Zone</w:t>
            </w:r>
          </w:p>
        </w:tc>
        <w:tc>
          <w:tcPr>
            <w:tcW w:type="dxa" w:w="5032"/>
          </w:tcPr>
          <w:p>
            <w:r>
              <w:t>America/Los_Angeles</w:t>
            </w:r>
          </w:p>
        </w:tc>
      </w:tr>
      <w:tr>
        <w:tc>
          <w:tcPr>
            <w:tcW w:type="dxa" w:w="5032"/>
          </w:tcPr>
          <w:p>
            <w:r>
              <w:t>Licensed Modules</w:t>
            </w:r>
          </w:p>
        </w:tc>
        <w:tc>
          <w:tcPr>
            <w:tcW w:type="dxa" w:w="5032"/>
          </w:tcPr>
          <w:p>
            <w:r>
              <w:t>AFM, VE</w:t>
              <w:br/>
              <w:t>Advanced Protocols, VE</w:t>
              <w:br/>
              <w:t>Advanced Web Application Firewall, VE</w:t>
              <w:br/>
              <w:t>Best w/AWF, VE-3G</w:t>
              <w:br/>
              <w:t>Crypto Offload, VE</w:t>
              <w:br/>
              <w:t>DNS Licensed Objects, Unlimited</w:t>
              <w:br/>
              <w:t>DNS Rate Fallback, 250K</w:t>
              <w:br/>
              <w:t>DNS Rate Limit, 250K QPS</w:t>
              <w:br/>
              <w:t>DNS-GTM, Base, 3Gbps</w:t>
              <w:br/>
              <w:t>DNSSEC</w:t>
              <w:br/>
              <w:t>Exclusive Version, v12.1.X - 18.X</w:t>
              <w:br/>
              <w:t>GTM Licensed Objects, Unlimited</w:t>
              <w:br/>
              <w:t>GTM Rate Fallback, 250K</w:t>
              <w:br/>
              <w:t>GTM Rate, 250K</w:t>
              <w:br/>
              <w:t>L022274-8679376</w:t>
              <w:br/>
              <w:t>Max Compression, VE</w:t>
              <w:br/>
              <w:t>PSM, VE</w:t>
              <w:br/>
              <w:t>Rate Shaping</w:t>
              <w:br/>
              <w:t>Recycle, BIG-IP, VE</w:t>
              <w:br/>
              <w:t>Routing Bundle, VE</w:t>
              <w:br/>
              <w:t>SDN Services, VE</w:t>
              <w:br/>
              <w:t>SSL, VE</w:t>
            </w:r>
          </w:p>
        </w:tc>
      </w:tr>
    </w:tbl>
    <w:p>
      <w:pPr>
        <w:pStyle w:val="Heading2"/>
      </w:pPr>
      <w:r>
        <w:t>System Details</w:t>
      </w:r>
    </w:p>
    <w:p>
      <w:r>
        <w:t>The following table shows the general configuration from the devices that have been configured.</w:t>
      </w:r>
    </w:p>
    <w:tbl>
      <w:tblPr>
        <w:tblStyle w:val="TableGrid"/>
        <w:tblW w:type="auto" w:w="0"/>
        <w:tblLook w:firstColumn="1" w:firstRow="1" w:lastColumn="0" w:lastRow="0" w:noHBand="0" w:noVBand="1" w:val="04A0"/>
      </w:tblPr>
      <w:tblGrid>
        <w:gridCol w:w="5032"/>
        <w:gridCol w:w="5032"/>
      </w:tblGrid>
      <w:tr>
        <w:tc>
          <w:tcPr>
            <w:tcW w:type="dxa" w:w="10064"/>
            <w:gridSpan w:val="2"/>
          </w:tcPr>
          <w:p>
            <w:r>
              <w:t>Device</w:t>
            </w:r>
          </w:p>
        </w:tc>
      </w:tr>
      <w:tr>
        <w:tc>
          <w:tcPr>
            <w:tcW w:type="dxa" w:w="5032"/>
          </w:tcPr>
          <w:p>
            <w:r>
              <w:t xml:space="preserve">    Failover State</w:t>
            </w:r>
          </w:p>
        </w:tc>
        <w:tc>
          <w:tcPr>
            <w:tcW w:type="dxa" w:w="5032"/>
          </w:tcPr>
          <w:p>
            <w:r>
              <w:t>active</w:t>
            </w:r>
          </w:p>
        </w:tc>
      </w:tr>
      <w:tr>
        <w:tc>
          <w:tcPr>
            <w:tcW w:type="dxa" w:w="5032"/>
          </w:tcPr>
          <w:p>
            <w:r>
              <w:t xml:space="preserve">    Active CPUs</w:t>
            </w:r>
          </w:p>
        </w:tc>
        <w:tc>
          <w:tcPr>
            <w:tcW w:type="dxa" w:w="5032"/>
          </w:tcPr>
          <w:p>
            <w:r>
              <w:t>4</w:t>
            </w:r>
          </w:p>
        </w:tc>
      </w:tr>
      <w:tr>
        <w:tc>
          <w:tcPr>
            <w:tcW w:type="dxa" w:w="5032"/>
          </w:tcPr>
          <w:p>
            <w:r>
              <w:t xml:space="preserve">    Total Memory (MB)</w:t>
            </w:r>
          </w:p>
        </w:tc>
        <w:tc>
          <w:tcPr>
            <w:tcW w:type="dxa" w:w="5032"/>
          </w:tcPr>
          <w:p>
            <w:r>
              <w:t>7.8G</w:t>
            </w:r>
          </w:p>
        </w:tc>
      </w:tr>
      <w:tr>
        <w:tc>
          <w:tcPr>
            <w:tcW w:type="dxa" w:w="5032"/>
          </w:tcPr>
          <w:p>
            <w:r>
              <w:t xml:space="preserve">    Available Memory (MB)</w:t>
            </w:r>
          </w:p>
        </w:tc>
        <w:tc>
          <w:tcPr>
            <w:tcW w:type="dxa" w:w="5032"/>
          </w:tcPr>
          <w:p>
            <w:r>
              <w:t>4.8G</w:t>
            </w:r>
          </w:p>
        </w:tc>
      </w:tr>
      <w:tr>
        <w:tc>
          <w:tcPr>
            <w:tcW w:type="dxa" w:w="10064"/>
            <w:gridSpan w:val="2"/>
          </w:tcPr>
          <w:p>
            <w:r/>
            <w:r>
              <w:rPr>
                <w:b/>
              </w:rPr>
              <w:t>Configuration Totals</w:t>
            </w:r>
          </w:p>
        </w:tc>
      </w:tr>
      <w:tr>
        <w:tc>
          <w:tcPr>
            <w:tcW w:type="dxa" w:w="5032"/>
          </w:tcPr>
          <w:p>
            <w:r>
              <w:t xml:space="preserve">    Pools</w:t>
            </w:r>
          </w:p>
        </w:tc>
        <w:tc>
          <w:tcPr>
            <w:tcW w:type="dxa" w:w="5032"/>
          </w:tcPr>
          <w:p>
            <w:r>
              <w:t>17</w:t>
            </w:r>
          </w:p>
        </w:tc>
      </w:tr>
      <w:tr>
        <w:tc>
          <w:tcPr>
            <w:tcW w:type="dxa" w:w="5032"/>
          </w:tcPr>
          <w:p>
            <w:r>
              <w:t xml:space="preserve">    HTTP(s) Monitors</w:t>
            </w:r>
          </w:p>
        </w:tc>
        <w:tc>
          <w:tcPr>
            <w:tcW w:type="dxa" w:w="5032"/>
          </w:tcPr>
          <w:p>
            <w:r>
              <w:t>5</w:t>
            </w:r>
          </w:p>
        </w:tc>
      </w:tr>
      <w:tr>
        <w:tc>
          <w:tcPr>
            <w:tcW w:type="dxa" w:w="5032"/>
          </w:tcPr>
          <w:p>
            <w:r>
              <w:t xml:space="preserve">    iRules</w:t>
            </w:r>
          </w:p>
        </w:tc>
        <w:tc>
          <w:tcPr>
            <w:tcW w:type="dxa" w:w="5032"/>
          </w:tcPr>
          <w:p>
            <w:r>
              <w:t>25</w:t>
            </w:r>
          </w:p>
        </w:tc>
      </w:tr>
      <w:tr>
        <w:tc>
          <w:tcPr>
            <w:tcW w:type="dxa" w:w="5032"/>
          </w:tcPr>
          <w:p>
            <w:r>
              <w:t xml:space="preserve">    Certificates</w:t>
            </w:r>
          </w:p>
        </w:tc>
        <w:tc>
          <w:tcPr>
            <w:tcW w:type="dxa" w:w="5032"/>
          </w:tcPr>
          <w:p>
            <w:r>
              <w:t>3</w:t>
            </w:r>
          </w:p>
        </w:tc>
      </w:tr>
      <w:tr>
        <w:tc>
          <w:tcPr>
            <w:tcW w:type="dxa" w:w="5032"/>
          </w:tcPr>
          <w:p>
            <w:r>
              <w:t xml:space="preserve">    TCP Profiles</w:t>
            </w:r>
          </w:p>
        </w:tc>
        <w:tc>
          <w:tcPr>
            <w:tcW w:type="dxa" w:w="5032"/>
          </w:tcPr>
          <w:p>
            <w:r>
              <w:t>15</w:t>
            </w:r>
          </w:p>
        </w:tc>
      </w:tr>
      <w:tr>
        <w:tc>
          <w:tcPr>
            <w:tcW w:type="dxa" w:w="5032"/>
          </w:tcPr>
          <w:p>
            <w:r>
              <w:t xml:space="preserve">    UDP Profiles</w:t>
            </w:r>
          </w:p>
        </w:tc>
        <w:tc>
          <w:tcPr>
            <w:tcW w:type="dxa" w:w="5032"/>
          </w:tcPr>
          <w:p>
            <w:r>
              <w:t>4</w:t>
            </w:r>
          </w:p>
        </w:tc>
      </w:tr>
      <w:tr>
        <w:tc>
          <w:tcPr>
            <w:tcW w:type="dxa" w:w="5032"/>
          </w:tcPr>
          <w:p>
            <w:r>
              <w:t xml:space="preserve">    HTTP Profiles</w:t>
            </w:r>
          </w:p>
        </w:tc>
        <w:tc>
          <w:tcPr>
            <w:tcW w:type="dxa" w:w="5032"/>
          </w:tcPr>
          <w:p>
            <w:r>
              <w:t>4</w:t>
            </w:r>
          </w:p>
        </w:tc>
      </w:tr>
      <w:tr>
        <w:tc>
          <w:tcPr>
            <w:tcW w:type="dxa" w:w="5032"/>
          </w:tcPr>
          <w:p>
            <w:r>
              <w:t xml:space="preserve">    HTTP2 Profiles</w:t>
            </w:r>
          </w:p>
        </w:tc>
        <w:tc>
          <w:tcPr>
            <w:tcW w:type="dxa" w:w="5032"/>
          </w:tcPr>
          <w:p>
            <w:r>
              <w:t>1</w:t>
            </w:r>
          </w:p>
        </w:tc>
      </w:tr>
      <w:tr>
        <w:tc>
          <w:tcPr>
            <w:tcW w:type="dxa" w:w="5032"/>
          </w:tcPr>
          <w:p>
            <w:r>
              <w:t xml:space="preserve">    Client SSL Profiles</w:t>
            </w:r>
          </w:p>
        </w:tc>
        <w:tc>
          <w:tcPr>
            <w:tcW w:type="dxa" w:w="5032"/>
          </w:tcPr>
          <w:p>
            <w:r>
              <w:t>9</w:t>
            </w:r>
          </w:p>
        </w:tc>
      </w:tr>
      <w:tr>
        <w:tc>
          <w:tcPr>
            <w:tcW w:type="dxa" w:w="5032"/>
          </w:tcPr>
          <w:p>
            <w:r>
              <w:t xml:space="preserve">    Server SSL Profiles</w:t>
            </w:r>
          </w:p>
        </w:tc>
        <w:tc>
          <w:tcPr>
            <w:tcW w:type="dxa" w:w="5032"/>
          </w:tcPr>
          <w:p>
            <w:r>
              <w:t>12</w:t>
            </w:r>
          </w:p>
        </w:tc>
      </w:tr>
      <w:tr>
        <w:tc>
          <w:tcPr>
            <w:tcW w:type="dxa" w:w="5032"/>
          </w:tcPr>
          <w:p>
            <w:r>
              <w:t xml:space="preserve">    Compression Profiles</w:t>
            </w:r>
          </w:p>
        </w:tc>
        <w:tc>
          <w:tcPr>
            <w:tcW w:type="dxa" w:w="5032"/>
          </w:tcPr>
          <w:p>
            <w:r>
              <w:t>2</w:t>
            </w:r>
          </w:p>
        </w:tc>
      </w:tr>
      <w:tr>
        <w:tc>
          <w:tcPr>
            <w:tcW w:type="dxa" w:w="5032"/>
          </w:tcPr>
          <w:p>
            <w:r>
              <w:t xml:space="preserve">    Web Acceleration Profiles</w:t>
            </w:r>
          </w:p>
        </w:tc>
        <w:tc>
          <w:tcPr>
            <w:tcW w:type="dxa" w:w="5032"/>
          </w:tcPr>
          <w:p>
            <w:r>
              <w:t>4</w:t>
            </w:r>
          </w:p>
        </w:tc>
      </w:tr>
      <w:tr>
        <w:tc>
          <w:tcPr>
            <w:tcW w:type="dxa" w:w="5032"/>
          </w:tcPr>
          <w:p>
            <w:r>
              <w:t xml:space="preserve">    Bot Policies</w:t>
            </w:r>
          </w:p>
        </w:tc>
        <w:tc>
          <w:tcPr>
            <w:tcW w:type="dxa" w:w="5032"/>
          </w:tcPr>
          <w:p>
            <w:r>
              <w:t>2</w:t>
            </w:r>
          </w:p>
        </w:tc>
      </w:tr>
      <w:tr>
        <w:tc>
          <w:tcPr>
            <w:tcW w:type="dxa" w:w="5032"/>
          </w:tcPr>
          <w:p>
            <w:r>
              <w:t xml:space="preserve">    Dos Policies</w:t>
            </w:r>
          </w:p>
        </w:tc>
        <w:tc>
          <w:tcPr>
            <w:tcW w:type="dxa" w:w="5032"/>
          </w:tcPr>
          <w:p>
            <w:r>
              <w:t>1</w:t>
            </w:r>
          </w:p>
        </w:tc>
      </w:tr>
      <w:tr>
        <w:tc>
          <w:tcPr>
            <w:tcW w:type="dxa" w:w="5032"/>
          </w:tcPr>
          <w:p>
            <w:r>
              <w:t xml:space="preserve">    ASM Policies</w:t>
            </w:r>
          </w:p>
        </w:tc>
        <w:tc>
          <w:tcPr>
            <w:tcW w:type="dxa" w:w="5032"/>
          </w:tcPr>
          <w:p>
            <w:r>
              <w:t>11</w:t>
            </w:r>
          </w:p>
        </w:tc>
      </w:tr>
      <w:tr>
        <w:tc>
          <w:tcPr>
            <w:tcW w:type="dxa" w:w="10064"/>
            <w:gridSpan w:val="2"/>
          </w:tcPr>
          <w:p>
            <w:r/>
            <w:r>
              <w:rPr>
                <w:b/>
              </w:rPr>
              <w:t>Virtual Servers Details</w:t>
            </w:r>
          </w:p>
        </w:tc>
      </w:tr>
      <w:tr>
        <w:tc>
          <w:tcPr>
            <w:tcW w:type="dxa" w:w="5032"/>
          </w:tcPr>
          <w:p>
            <w:r>
              <w:t xml:space="preserve">    Virtual Servers Total</w:t>
            </w:r>
          </w:p>
        </w:tc>
        <w:tc>
          <w:tcPr>
            <w:tcW w:type="dxa" w:w="5032"/>
          </w:tcPr>
          <w:p>
            <w:r>
              <w:t>21</w:t>
            </w:r>
          </w:p>
        </w:tc>
      </w:tr>
      <w:tr>
        <w:tc>
          <w:tcPr>
            <w:tcW w:type="dxa" w:w="5032"/>
          </w:tcPr>
          <w:p>
            <w:r>
              <w:t xml:space="preserve">    L7 Virtual Servers</w:t>
            </w:r>
          </w:p>
        </w:tc>
        <w:tc>
          <w:tcPr>
            <w:tcW w:type="dxa" w:w="5032"/>
          </w:tcPr>
          <w:p>
            <w:r>
              <w:t>9</w:t>
            </w:r>
          </w:p>
        </w:tc>
      </w:tr>
      <w:tr>
        <w:tc>
          <w:tcPr>
            <w:tcW w:type="dxa" w:w="5032"/>
          </w:tcPr>
          <w:p>
            <w:r>
              <w:t xml:space="preserve">    L4 Virtual Servers </w:t>
            </w:r>
          </w:p>
        </w:tc>
        <w:tc>
          <w:tcPr>
            <w:tcW w:type="dxa" w:w="5032"/>
          </w:tcPr>
          <w:p>
            <w:r>
              <w:t>21</w:t>
            </w:r>
          </w:p>
        </w:tc>
      </w:tr>
      <w:tr>
        <w:tc>
          <w:tcPr>
            <w:tcW w:type="dxa" w:w="5032"/>
          </w:tcPr>
          <w:p>
            <w:r>
              <w:t xml:space="preserve">    Virtuals with SSL Offloading</w:t>
            </w:r>
          </w:p>
        </w:tc>
        <w:tc>
          <w:tcPr>
            <w:tcW w:type="dxa" w:w="5032"/>
          </w:tcPr>
          <w:p>
            <w:r>
              <w:t>1</w:t>
            </w:r>
          </w:p>
        </w:tc>
      </w:tr>
      <w:tr>
        <w:tc>
          <w:tcPr>
            <w:tcW w:type="dxa" w:w="5032"/>
          </w:tcPr>
          <w:p>
            <w:r>
              <w:t xml:space="preserve">    Virtuals with Optimization</w:t>
            </w:r>
          </w:p>
        </w:tc>
        <w:tc>
          <w:tcPr>
            <w:tcW w:type="dxa" w:w="5032"/>
          </w:tcPr>
          <w:p>
            <w:r>
              <w:t>0</w:t>
            </w:r>
          </w:p>
        </w:tc>
      </w:tr>
      <w:tr>
        <w:tc>
          <w:tcPr>
            <w:tcW w:type="dxa" w:w="5032"/>
          </w:tcPr>
          <w:p>
            <w:r>
              <w:t xml:space="preserve">    Virtuals with WAF</w:t>
            </w:r>
          </w:p>
        </w:tc>
        <w:tc>
          <w:tcPr>
            <w:tcW w:type="dxa" w:w="5032"/>
          </w:tcPr>
          <w:p>
            <w:r>
              <w:t>1</w:t>
            </w:r>
          </w:p>
        </w:tc>
      </w:tr>
      <w:tr>
        <w:tc>
          <w:tcPr>
            <w:tcW w:type="dxa" w:w="5032"/>
          </w:tcPr>
          <w:p>
            <w:r>
              <w:t xml:space="preserve">    Virtuals with Bot</w:t>
            </w:r>
          </w:p>
        </w:tc>
        <w:tc>
          <w:tcPr>
            <w:tcW w:type="dxa" w:w="5032"/>
          </w:tcPr>
          <w:p>
            <w:r>
              <w:t>0</w:t>
            </w:r>
          </w:p>
        </w:tc>
      </w:tr>
      <w:tr>
        <w:tc>
          <w:tcPr>
            <w:tcW w:type="dxa" w:w="5032"/>
          </w:tcPr>
          <w:p>
            <w:r>
              <w:t xml:space="preserve">    Virtuals with DOS</w:t>
            </w:r>
          </w:p>
        </w:tc>
        <w:tc>
          <w:tcPr>
            <w:tcW w:type="dxa" w:w="5032"/>
          </w:tcPr>
          <w:p>
            <w:r>
              <w:t>1</w:t>
            </w:r>
          </w:p>
        </w:tc>
      </w:tr>
      <w:tr>
        <w:tc>
          <w:tcPr>
            <w:tcW w:type="dxa" w:w="10064"/>
            <w:gridSpan w:val="2"/>
          </w:tcPr>
          <w:p>
            <w:r/>
            <w:r>
              <w:rPr>
                <w:b/>
              </w:rPr>
              <w:t>Provisioned Modules</w:t>
            </w:r>
          </w:p>
        </w:tc>
      </w:tr>
      <w:tr>
        <w:tc>
          <w:tcPr>
            <w:tcW w:type="dxa" w:w="5032"/>
          </w:tcPr>
          <w:p>
            <w:r>
              <w:t xml:space="preserve">    ASM</w:t>
            </w:r>
          </w:p>
        </w:tc>
        <w:tc>
          <w:tcPr>
            <w:tcW w:type="dxa" w:w="5032"/>
          </w:tcPr>
          <w:p>
            <w:r>
              <w:t>Nominal</w:t>
            </w:r>
          </w:p>
        </w:tc>
      </w:tr>
      <w:tr>
        <w:tc>
          <w:tcPr>
            <w:tcW w:type="dxa" w:w="5032"/>
          </w:tcPr>
          <w:p>
            <w:r>
              <w:t xml:space="preserve">    GTM</w:t>
            </w:r>
          </w:p>
        </w:tc>
        <w:tc>
          <w:tcPr>
            <w:tcW w:type="dxa" w:w="5032"/>
          </w:tcPr>
          <w:p>
            <w:r>
              <w:t>Nominal</w:t>
            </w:r>
          </w:p>
        </w:tc>
      </w:tr>
      <w:tr>
        <w:tc>
          <w:tcPr>
            <w:tcW w:type="dxa" w:w="5032"/>
          </w:tcPr>
          <w:p>
            <w:r>
              <w:t xml:space="preserve">    LTM</w:t>
            </w:r>
          </w:p>
        </w:tc>
        <w:tc>
          <w:tcPr>
            <w:tcW w:type="dxa" w:w="5032"/>
          </w:tcPr>
          <w:p>
            <w:r>
              <w:t>Nominal</w:t>
            </w:r>
          </w:p>
        </w:tc>
      </w:tr>
    </w:tbl>
    <w:p/>
    <w:p/>
    <w:p>
      <w:pPr>
        <w:pStyle w:val="Heading2"/>
      </w:pPr>
      <w:r>
        <w:t>Resources Utilization</w:t>
      </w:r>
    </w:p>
    <w:p>
      <w:r>
        <w:t>This section provides a consolidated view of the BIG-IP system’s operational performance across all key hardware and traffic indicators. By visualizing CPU load, memory usage, bandwidth consumption, SSL offloading activity, connection volumes, and HTTP transaction rates, we gain a clear understanding of both platform health and traffic behavior. These insights help identify bottlenecks, verify capacity headroom, and validate that the system is performing reliably under current workloads.</w:t>
      </w:r>
    </w:p>
    <w:p/>
    <w:p>
      <w:r>
        <w:rPr>
          <w:b/>
        </w:rPr>
        <w:t>Throughput</w:t>
      </w:r>
    </w:p>
    <w:p>
      <w:r>
        <w:t>The image below shows the inbound and outbound bandwidth usage.</w:t>
      </w:r>
    </w:p>
    <w:p>
      <w:pPr>
        <w:jc w:val="center"/>
      </w:pPr>
      <w:r/>
    </w:p>
    <w:p/>
    <w:p>
      <w:r>
        <w:rPr>
          <w:b/>
        </w:rPr>
        <w:t>HTTP Requests</w:t>
      </w:r>
    </w:p>
    <w:p>
      <w:r>
        <w:t>The chart below shows the number of HTTP transactions processed.</w:t>
      </w:r>
    </w:p>
    <w:p>
      <w:pPr>
        <w:jc w:val="center"/>
      </w:pPr>
      <w:r/>
    </w:p>
    <w:p/>
    <w:p>
      <w:r>
        <w:rPr>
          <w:b/>
        </w:rPr>
        <w:t>Memory Usage</w:t>
      </w:r>
    </w:p>
    <w:p>
      <w:r>
        <w:t>The chart below displays the memory usage per type.</w:t>
      </w:r>
    </w:p>
    <w:p>
      <w:pPr>
        <w:jc w:val="center"/>
      </w:pPr>
      <w:r/>
    </w:p>
    <w:p/>
    <w:p>
      <w:r>
        <w:rPr>
          <w:b/>
        </w:rPr>
        <w:t>SSL Transactions</w:t>
      </w:r>
    </w:p>
    <w:p>
      <w:r>
        <w:t>The image below shows the device SSL processing levels.</w:t>
      </w:r>
    </w:p>
    <w:p>
      <w:pPr>
        <w:jc w:val="center"/>
      </w:pPr>
      <w:r/>
    </w:p>
    <w:p/>
    <w:p>
      <w:r>
        <w:rPr>
          <w:b/>
        </w:rPr>
        <w:t>CPU Utilization</w:t>
      </w:r>
    </w:p>
    <w:p>
      <w:r>
        <w:t>The image below shows the recorded CPU utilization for the system per CPU core.</w:t>
      </w:r>
    </w:p>
    <w:p>
      <w:pPr>
        <w:jc w:val="center"/>
      </w:pPr>
      <w:r/>
    </w:p>
    <w:p/>
    <w:p>
      <w:r>
        <w:rPr>
          <w:b/>
        </w:rPr>
        <w:t>Active Connections</w:t>
      </w:r>
    </w:p>
    <w:p>
      <w:r>
        <w:t>The image below shows the number of active connections of the device.</w:t>
      </w:r>
    </w:p>
    <w:p>
      <w:pPr>
        <w:jc w:val="center"/>
      </w:pPr>
      <w:r/>
    </w:p>
    <w:p/>
    <w:p>
      <w:r>
        <w:t>The following table provides the summary of all the Issues that have been identified on the BIGIP Device during our audit.</w:t>
      </w:r>
    </w:p>
    <w:tbl>
      <w:tblPr>
        <w:tblStyle w:val="TableGrid"/>
        <w:tblW w:type="auto" w:w="0"/>
        <w:tblLook w:firstColumn="1" w:firstRow="1" w:lastColumn="0" w:lastRow="0" w:noHBand="0" w:noVBand="1" w:val="04A0"/>
      </w:tblPr>
      <w:tblGrid>
        <w:gridCol w:w="567"/>
        <w:gridCol w:w="567"/>
        <w:gridCol w:w="7370"/>
      </w:tblGrid>
      <w:tr>
        <w:tc>
          <w:tcPr>
            <w:tcW w:type="dxa" w:w="567"/>
          </w:tcPr>
          <w:p>
            <w:r>
              <w:t>#</w:t>
            </w:r>
          </w:p>
        </w:tc>
        <w:tc>
          <w:tcPr>
            <w:tcW w:type="dxa" w:w="567"/>
          </w:tcPr>
          <w:p>
            <w:r>
              <w:t>Severity</w:t>
            </w:r>
          </w:p>
        </w:tc>
        <w:tc>
          <w:tcPr>
            <w:tcW w:type="dxa" w:w="7370"/>
          </w:tcPr>
          <w:p>
            <w:r>
              <w:t>Issue details</w:t>
            </w:r>
          </w:p>
        </w:tc>
      </w:tr>
      <w:tr>
        <w:tc>
          <w:tcPr>
            <w:tcW w:type="dxa" w:w="567"/>
          </w:tcPr>
          <w:p>
            <w:r>
              <w:t>1</w:t>
            </w:r>
          </w:p>
        </w:tc>
        <w:tc>
          <w:tcPr>
            <w:tcW w:type="dxa" w:w="567"/>
          </w:tcPr>
          <w:p>
            <w:r>
              <w:drawing>
                <wp:inline xmlns:a="http://schemas.openxmlformats.org/drawingml/2006/main" xmlns:pic="http://schemas.openxmlformats.org/drawingml/2006/picture">
                  <wp:extent cx="164592" cy="164592"/>
                  <wp:docPr id="1" name="Picture 1"/>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HA Synchronization Issue</w:t>
            </w:r>
          </w:p>
        </w:tc>
      </w:tr>
      <w:tr>
        <w:tc>
          <w:tcPr>
            <w:tcW w:type="dxa" w:w="567"/>
          </w:tcPr>
          <w:p>
            <w:r>
              <w:t>2</w:t>
            </w:r>
          </w:p>
        </w:tc>
        <w:tc>
          <w:tcPr>
            <w:tcW w:type="dxa" w:w="567"/>
          </w:tcPr>
          <w:p>
            <w:r>
              <w:drawing>
                <wp:inline xmlns:a="http://schemas.openxmlformats.org/drawingml/2006/main" xmlns:pic="http://schemas.openxmlformats.org/drawingml/2006/picture">
                  <wp:extent cx="164592" cy="164592"/>
                  <wp:docPr id="2" name="Picture 2"/>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Access to F5 BIGIP Mgmt Interface via Self IPs</w:t>
            </w:r>
          </w:p>
        </w:tc>
      </w:tr>
      <w:tr>
        <w:tc>
          <w:tcPr>
            <w:tcW w:type="dxa" w:w="567"/>
          </w:tcPr>
          <w:p>
            <w:r>
              <w:t>3</w:t>
            </w:r>
          </w:p>
        </w:tc>
        <w:tc>
          <w:tcPr>
            <w:tcW w:type="dxa" w:w="567"/>
          </w:tcPr>
          <w:p>
            <w:r>
              <w:drawing>
                <wp:inline xmlns:a="http://schemas.openxmlformats.org/drawingml/2006/main" xmlns:pic="http://schemas.openxmlformats.org/drawingml/2006/picture">
                  <wp:extent cx="164592" cy="164592"/>
                  <wp:docPr id="3" name="Picture 3"/>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Unrestricted SSH Access</w:t>
            </w:r>
          </w:p>
        </w:tc>
      </w:tr>
      <w:tr>
        <w:tc>
          <w:tcPr>
            <w:tcW w:type="dxa" w:w="567"/>
          </w:tcPr>
          <w:p>
            <w:r>
              <w:t>4</w:t>
            </w:r>
          </w:p>
        </w:tc>
        <w:tc>
          <w:tcPr>
            <w:tcW w:type="dxa" w:w="567"/>
          </w:tcPr>
          <w:p>
            <w:r>
              <w:drawing>
                <wp:inline xmlns:a="http://schemas.openxmlformats.org/drawingml/2006/main" xmlns:pic="http://schemas.openxmlformats.org/drawingml/2006/picture">
                  <wp:extent cx="164592" cy="164592"/>
                  <wp:docPr id="4" name="Picture 4"/>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iRule execution failures</w:t>
            </w:r>
          </w:p>
        </w:tc>
      </w:tr>
      <w:tr>
        <w:tc>
          <w:tcPr>
            <w:tcW w:type="dxa" w:w="567"/>
          </w:tcPr>
          <w:p>
            <w:r>
              <w:t>5</w:t>
            </w:r>
          </w:p>
        </w:tc>
        <w:tc>
          <w:tcPr>
            <w:tcW w:type="dxa" w:w="567"/>
          </w:tcPr>
          <w:p>
            <w:r>
              <w:drawing>
                <wp:inline xmlns:a="http://schemas.openxmlformats.org/drawingml/2006/main" xmlns:pic="http://schemas.openxmlformats.org/drawingml/2006/picture">
                  <wp:extent cx="164592" cy="164592"/>
                  <wp:docPr id="5" name="Picture 5"/>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Expired or about to expire SSL certificates</w:t>
            </w:r>
          </w:p>
        </w:tc>
      </w:tr>
      <w:tr>
        <w:tc>
          <w:tcPr>
            <w:tcW w:type="dxa" w:w="567"/>
          </w:tcPr>
          <w:p>
            <w:r>
              <w:t>6</w:t>
            </w:r>
          </w:p>
        </w:tc>
        <w:tc>
          <w:tcPr>
            <w:tcW w:type="dxa" w:w="567"/>
          </w:tcPr>
          <w:p>
            <w:r>
              <w:drawing>
                <wp:inline xmlns:a="http://schemas.openxmlformats.org/drawingml/2006/main" xmlns:pic="http://schemas.openxmlformats.org/drawingml/2006/picture">
                  <wp:extent cx="164592" cy="164592"/>
                  <wp:docPr id="6" name="Picture 6"/>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Idle-Logout Setting Configuration Check</w:t>
            </w:r>
          </w:p>
        </w:tc>
      </w:tr>
      <w:tr>
        <w:tc>
          <w:tcPr>
            <w:tcW w:type="dxa" w:w="567"/>
          </w:tcPr>
          <w:p>
            <w:r>
              <w:t>7</w:t>
            </w:r>
          </w:p>
        </w:tc>
        <w:tc>
          <w:tcPr>
            <w:tcW w:type="dxa" w:w="567"/>
          </w:tcPr>
          <w:p>
            <w:r>
              <w:drawing>
                <wp:inline xmlns:a="http://schemas.openxmlformats.org/drawingml/2006/main" xmlns:pic="http://schemas.openxmlformats.org/drawingml/2006/picture">
                  <wp:extent cx="164592" cy="164592"/>
                  <wp:docPr id="7" name="Picture 7"/>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BIG-IP evaluation and demonstration licenses may expire</w:t>
            </w:r>
          </w:p>
        </w:tc>
      </w:tr>
      <w:tr>
        <w:tc>
          <w:tcPr>
            <w:tcW w:type="dxa" w:w="567"/>
          </w:tcPr>
          <w:p>
            <w:r>
              <w:t>8</w:t>
            </w:r>
          </w:p>
        </w:tc>
        <w:tc>
          <w:tcPr>
            <w:tcW w:type="dxa" w:w="567"/>
          </w:tcPr>
          <w:p>
            <w:r>
              <w:drawing>
                <wp:inline xmlns:a="http://schemas.openxmlformats.org/drawingml/2006/main" xmlns:pic="http://schemas.openxmlformats.org/drawingml/2006/picture">
                  <wp:extent cx="164592" cy="164592"/>
                  <wp:docPr id="8" name="Picture 8"/>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iRule 'failure' and 'abort' statistics</w:t>
            </w:r>
          </w:p>
        </w:tc>
      </w:tr>
      <w:tr>
        <w:tc>
          <w:tcPr>
            <w:tcW w:type="dxa" w:w="567"/>
          </w:tcPr>
          <w:p>
            <w:r>
              <w:t>9</w:t>
            </w:r>
          </w:p>
        </w:tc>
        <w:tc>
          <w:tcPr>
            <w:tcW w:type="dxa" w:w="567"/>
          </w:tcPr>
          <w:p>
            <w:r>
              <w:drawing>
                <wp:inline xmlns:a="http://schemas.openxmlformats.org/drawingml/2006/main" xmlns:pic="http://schemas.openxmlformats.org/drawingml/2006/picture">
                  <wp:extent cx="164592" cy="164592"/>
                  <wp:docPr id="9" name="Picture 9"/>
                  <wp:cNvGraphicFramePr>
                    <a:graphicFrameLocks noChangeAspect="1"/>
                  </wp:cNvGraphicFramePr>
                  <a:graphic>
                    <a:graphicData uri="http://schemas.openxmlformats.org/drawingml/2006/picture">
                      <pic:pic>
                        <pic:nvPicPr>
                          <pic:cNvPr id="0" name="High.png"/>
                          <pic:cNvPicPr/>
                        </pic:nvPicPr>
                        <pic:blipFill>
                          <a:blip r:embed="rId12"/>
                          <a:stretch>
                            <a:fillRect/>
                          </a:stretch>
                        </pic:blipFill>
                        <pic:spPr>
                          <a:xfrm>
                            <a:off x="0" y="0"/>
                            <a:ext cx="164592" cy="164592"/>
                          </a:xfrm>
                          <a:prstGeom prst="rect"/>
                        </pic:spPr>
                      </pic:pic>
                    </a:graphicData>
                  </a:graphic>
                </wp:inline>
              </w:drawing>
            </w:r>
          </w:p>
        </w:tc>
        <w:tc>
          <w:tcPr>
            <w:tcW w:type="dxa" w:w="7370"/>
          </w:tcPr>
          <w:p>
            <w:r>
              <w:t>17 CVE Vulnerabilities have been identified.</w:t>
            </w:r>
          </w:p>
        </w:tc>
      </w:tr>
      <w:tr>
        <w:tc>
          <w:tcPr>
            <w:tcW w:type="dxa" w:w="567"/>
          </w:tcPr>
          <w:p>
            <w:r>
              <w:t>10</w:t>
            </w:r>
          </w:p>
        </w:tc>
        <w:tc>
          <w:tcPr>
            <w:tcW w:type="dxa" w:w="567"/>
          </w:tcPr>
          <w:p>
            <w:r>
              <w:drawing>
                <wp:inline xmlns:a="http://schemas.openxmlformats.org/drawingml/2006/main" xmlns:pic="http://schemas.openxmlformats.org/drawingml/2006/picture">
                  <wp:extent cx="164592" cy="164592"/>
                  <wp:docPr id="10" name="Picture 10"/>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Missing NTP Servers</w:t>
            </w:r>
          </w:p>
        </w:tc>
      </w:tr>
      <w:tr>
        <w:tc>
          <w:tcPr>
            <w:tcW w:type="dxa" w:w="567"/>
          </w:tcPr>
          <w:p>
            <w:r>
              <w:t>11</w:t>
            </w:r>
          </w:p>
        </w:tc>
        <w:tc>
          <w:tcPr>
            <w:tcW w:type="dxa" w:w="567"/>
          </w:tcPr>
          <w:p>
            <w:r>
              <w:drawing>
                <wp:inline xmlns:a="http://schemas.openxmlformats.org/drawingml/2006/main" xmlns:pic="http://schemas.openxmlformats.org/drawingml/2006/picture">
                  <wp:extent cx="164592" cy="164592"/>
                  <wp:docPr id="11" name="Picture 11"/>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Unrestricted HTTPD Access</w:t>
            </w:r>
          </w:p>
        </w:tc>
      </w:tr>
      <w:tr>
        <w:tc>
          <w:tcPr>
            <w:tcW w:type="dxa" w:w="567"/>
          </w:tcPr>
          <w:p>
            <w:r>
              <w:t>12</w:t>
            </w:r>
          </w:p>
        </w:tc>
        <w:tc>
          <w:tcPr>
            <w:tcW w:type="dxa" w:w="567"/>
          </w:tcPr>
          <w:p>
            <w:r>
              <w:drawing>
                <wp:inline xmlns:a="http://schemas.openxmlformats.org/drawingml/2006/main" xmlns:pic="http://schemas.openxmlformats.org/drawingml/2006/picture">
                  <wp:extent cx="164592" cy="164592"/>
                  <wp:docPr id="12" name="Picture 12"/>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Password security (Maximum Login Failures not set)</w:t>
            </w:r>
          </w:p>
        </w:tc>
      </w:tr>
      <w:tr>
        <w:tc>
          <w:tcPr>
            <w:tcW w:type="dxa" w:w="567"/>
          </w:tcPr>
          <w:p>
            <w:r>
              <w:t>13</w:t>
            </w:r>
          </w:p>
        </w:tc>
        <w:tc>
          <w:tcPr>
            <w:tcW w:type="dxa" w:w="567"/>
          </w:tcPr>
          <w:p>
            <w:r>
              <w:drawing>
                <wp:inline xmlns:a="http://schemas.openxmlformats.org/drawingml/2006/main" xmlns:pic="http://schemas.openxmlformats.org/drawingml/2006/picture">
                  <wp:extent cx="164592" cy="164592"/>
                  <wp:docPr id="13" name="Picture 13"/>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Password security (History not set)</w:t>
            </w:r>
          </w:p>
        </w:tc>
      </w:tr>
      <w:tr>
        <w:tc>
          <w:tcPr>
            <w:tcW w:type="dxa" w:w="567"/>
          </w:tcPr>
          <w:p>
            <w:r>
              <w:t>14</w:t>
            </w:r>
          </w:p>
        </w:tc>
        <w:tc>
          <w:tcPr>
            <w:tcW w:type="dxa" w:w="567"/>
          </w:tcPr>
          <w:p>
            <w:r>
              <w:drawing>
                <wp:inline xmlns:a="http://schemas.openxmlformats.org/drawingml/2006/main" xmlns:pic="http://schemas.openxmlformats.org/drawingml/2006/picture">
                  <wp:extent cx="164592" cy="164592"/>
                  <wp:docPr id="14" name="Picture 14"/>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Password security (Complexity)</w:t>
            </w:r>
          </w:p>
        </w:tc>
      </w:tr>
      <w:tr>
        <w:tc>
          <w:tcPr>
            <w:tcW w:type="dxa" w:w="567"/>
          </w:tcPr>
          <w:p>
            <w:r>
              <w:t>15</w:t>
            </w:r>
          </w:p>
        </w:tc>
        <w:tc>
          <w:tcPr>
            <w:tcW w:type="dxa" w:w="567"/>
          </w:tcPr>
          <w:p>
            <w:r>
              <w:drawing>
                <wp:inline xmlns:a="http://schemas.openxmlformats.org/drawingml/2006/main" xmlns:pic="http://schemas.openxmlformats.org/drawingml/2006/picture">
                  <wp:extent cx="164592" cy="164592"/>
                  <wp:docPr id="15" name="Picture 15"/>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Only default HTTP(s) Monitors</w:t>
            </w:r>
          </w:p>
        </w:tc>
      </w:tr>
      <w:tr>
        <w:tc>
          <w:tcPr>
            <w:tcW w:type="dxa" w:w="567"/>
          </w:tcPr>
          <w:p>
            <w:r>
              <w:t>16</w:t>
            </w:r>
          </w:p>
        </w:tc>
        <w:tc>
          <w:tcPr>
            <w:tcW w:type="dxa" w:w="567"/>
          </w:tcPr>
          <w:p>
            <w:r>
              <w:drawing>
                <wp:inline xmlns:a="http://schemas.openxmlformats.org/drawingml/2006/main" xmlns:pic="http://schemas.openxmlformats.org/drawingml/2006/picture">
                  <wp:extent cx="164592" cy="164592"/>
                  <wp:docPr id="16" name="Picture 16"/>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Pools without Monitors</w:t>
            </w:r>
          </w:p>
        </w:tc>
      </w:tr>
      <w:tr>
        <w:tc>
          <w:tcPr>
            <w:tcW w:type="dxa" w:w="567"/>
          </w:tcPr>
          <w:p>
            <w:r>
              <w:t>17</w:t>
            </w:r>
          </w:p>
        </w:tc>
        <w:tc>
          <w:tcPr>
            <w:tcW w:type="dxa" w:w="567"/>
          </w:tcPr>
          <w:p>
            <w:r>
              <w:drawing>
                <wp:inline xmlns:a="http://schemas.openxmlformats.org/drawingml/2006/main" xmlns:pic="http://schemas.openxmlformats.org/drawingml/2006/picture">
                  <wp:extent cx="164592" cy="164592"/>
                  <wp:docPr id="17" name="Picture 17"/>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BIG-IP Cookie Persistence Encryption not enabled</w:t>
            </w:r>
          </w:p>
        </w:tc>
      </w:tr>
      <w:tr>
        <w:tc>
          <w:tcPr>
            <w:tcW w:type="dxa" w:w="567"/>
          </w:tcPr>
          <w:p>
            <w:r>
              <w:t>18</w:t>
            </w:r>
          </w:p>
        </w:tc>
        <w:tc>
          <w:tcPr>
            <w:tcW w:type="dxa" w:w="567"/>
          </w:tcPr>
          <w:p>
            <w:r>
              <w:drawing>
                <wp:inline xmlns:a="http://schemas.openxmlformats.org/drawingml/2006/main" xmlns:pic="http://schemas.openxmlformats.org/drawingml/2006/picture">
                  <wp:extent cx="164592" cy="164592"/>
                  <wp:docPr id="18" name="Picture 18"/>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BIG-IP objects may not send gratuitous ARP requests during failover</w:t>
            </w:r>
          </w:p>
        </w:tc>
      </w:tr>
      <w:tr>
        <w:tc>
          <w:tcPr>
            <w:tcW w:type="dxa" w:w="567"/>
          </w:tcPr>
          <w:p>
            <w:r>
              <w:t>19</w:t>
            </w:r>
          </w:p>
        </w:tc>
        <w:tc>
          <w:tcPr>
            <w:tcW w:type="dxa" w:w="567"/>
          </w:tcPr>
          <w:p>
            <w:r>
              <w:drawing>
                <wp:inline xmlns:a="http://schemas.openxmlformats.org/drawingml/2006/main" xmlns:pic="http://schemas.openxmlformats.org/drawingml/2006/picture">
                  <wp:extent cx="164592" cy="164592"/>
                  <wp:docPr id="19" name="Picture 19"/>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A password policy is not configured or can be strengthened.</w:t>
            </w:r>
          </w:p>
        </w:tc>
      </w:tr>
      <w:tr>
        <w:tc>
          <w:tcPr>
            <w:tcW w:type="dxa" w:w="567"/>
          </w:tcPr>
          <w:p>
            <w:r>
              <w:t>20</w:t>
            </w:r>
          </w:p>
        </w:tc>
        <w:tc>
          <w:tcPr>
            <w:tcW w:type="dxa" w:w="567"/>
          </w:tcPr>
          <w:p>
            <w:r>
              <w:drawing>
                <wp:inline xmlns:a="http://schemas.openxmlformats.org/drawingml/2006/main" xmlns:pic="http://schemas.openxmlformats.org/drawingml/2006/picture">
                  <wp:extent cx="164592" cy="164592"/>
                  <wp:docPr id="20" name="Picture 20"/>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Log messages report TCL runtime errors</w:t>
            </w:r>
          </w:p>
        </w:tc>
      </w:tr>
      <w:tr>
        <w:tc>
          <w:tcPr>
            <w:tcW w:type="dxa" w:w="567"/>
          </w:tcPr>
          <w:p>
            <w:r>
              <w:t>21</w:t>
            </w:r>
          </w:p>
        </w:tc>
        <w:tc>
          <w:tcPr>
            <w:tcW w:type="dxa" w:w="567"/>
          </w:tcPr>
          <w:p>
            <w:r>
              <w:drawing>
                <wp:inline xmlns:a="http://schemas.openxmlformats.org/drawingml/2006/main" xmlns:pic="http://schemas.openxmlformats.org/drawingml/2006/picture">
                  <wp:extent cx="164592" cy="164592"/>
                  <wp:docPr id="21" name="Picture 21"/>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Required IP addresses for ConfigSync and device service clustering</w:t>
            </w:r>
          </w:p>
        </w:tc>
      </w:tr>
      <w:tr>
        <w:tc>
          <w:tcPr>
            <w:tcW w:type="dxa" w:w="567"/>
          </w:tcPr>
          <w:p>
            <w:r>
              <w:t>22</w:t>
            </w:r>
          </w:p>
        </w:tc>
        <w:tc>
          <w:tcPr>
            <w:tcW w:type="dxa" w:w="567"/>
          </w:tcPr>
          <w:p>
            <w:r>
              <w:drawing>
                <wp:inline xmlns:a="http://schemas.openxmlformats.org/drawingml/2006/main" xmlns:pic="http://schemas.openxmlformats.org/drawingml/2006/picture">
                  <wp:extent cx="164592" cy="164592"/>
                  <wp:docPr id="22" name="Picture 22"/>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SSL certificates are expired, about to expire, or are not yet valid</w:t>
            </w:r>
          </w:p>
        </w:tc>
      </w:tr>
      <w:tr>
        <w:tc>
          <w:tcPr>
            <w:tcW w:type="dxa" w:w="567"/>
          </w:tcPr>
          <w:p>
            <w:r>
              <w:t>23</w:t>
            </w:r>
          </w:p>
        </w:tc>
        <w:tc>
          <w:tcPr>
            <w:tcW w:type="dxa" w:w="567"/>
          </w:tcPr>
          <w:p>
            <w:r>
              <w:drawing>
                <wp:inline xmlns:a="http://schemas.openxmlformats.org/drawingml/2006/main" xmlns:pic="http://schemas.openxmlformats.org/drawingml/2006/picture">
                  <wp:extent cx="164592" cy="164592"/>
                  <wp:docPr id="23" name="Picture 23"/>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There are not enough NTP servers either configured or reliably reachable, or the NTP daemon is not running</w:t>
            </w:r>
          </w:p>
        </w:tc>
      </w:tr>
      <w:tr>
        <w:tc>
          <w:tcPr>
            <w:tcW w:type="dxa" w:w="567"/>
          </w:tcPr>
          <w:p>
            <w:r>
              <w:t>24</w:t>
            </w:r>
          </w:p>
        </w:tc>
        <w:tc>
          <w:tcPr>
            <w:tcW w:type="dxa" w:w="567"/>
          </w:tcPr>
          <w:p>
            <w:r>
              <w:drawing>
                <wp:inline xmlns:a="http://schemas.openxmlformats.org/drawingml/2006/main" xmlns:pic="http://schemas.openxmlformats.org/drawingml/2006/picture">
                  <wp:extent cx="164592" cy="164592"/>
                  <wp:docPr id="24" name="Picture 24"/>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F5 recommends removing orphaned configuration objects</w:t>
            </w:r>
          </w:p>
        </w:tc>
      </w:tr>
      <w:tr>
        <w:tc>
          <w:tcPr>
            <w:tcW w:type="dxa" w:w="567"/>
          </w:tcPr>
          <w:p>
            <w:r>
              <w:t>25</w:t>
            </w:r>
          </w:p>
        </w:tc>
        <w:tc>
          <w:tcPr>
            <w:tcW w:type="dxa" w:w="567"/>
          </w:tcPr>
          <w:p>
            <w:r>
              <w:drawing>
                <wp:inline xmlns:a="http://schemas.openxmlformats.org/drawingml/2006/main" xmlns:pic="http://schemas.openxmlformats.org/drawingml/2006/picture">
                  <wp:extent cx="164592" cy="164592"/>
                  <wp:docPr id="25" name="Picture 25"/>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F5 recommends removing orphaned configuration objects</w:t>
            </w:r>
          </w:p>
        </w:tc>
      </w:tr>
      <w:tr>
        <w:tc>
          <w:tcPr>
            <w:tcW w:type="dxa" w:w="567"/>
          </w:tcPr>
          <w:p>
            <w:r>
              <w:t>26</w:t>
            </w:r>
          </w:p>
        </w:tc>
        <w:tc>
          <w:tcPr>
            <w:tcW w:type="dxa" w:w="567"/>
          </w:tcPr>
          <w:p>
            <w:r>
              <w:drawing>
                <wp:inline xmlns:a="http://schemas.openxmlformats.org/drawingml/2006/main" xmlns:pic="http://schemas.openxmlformats.org/drawingml/2006/picture">
                  <wp:extent cx="164592" cy="164592"/>
                  <wp:docPr id="26" name="Picture 26"/>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164592" cy="164592"/>
                          </a:xfrm>
                          <a:prstGeom prst="rect"/>
                        </pic:spPr>
                      </pic:pic>
                    </a:graphicData>
                  </a:graphic>
                </wp:inline>
              </w:drawing>
            </w:r>
          </w:p>
        </w:tc>
        <w:tc>
          <w:tcPr>
            <w:tcW w:type="dxa" w:w="7370"/>
          </w:tcPr>
          <w:p>
            <w:r>
              <w:t>Cookie or universal persistence may fail for subsequent requests on Keep-Alive HTTP connections</w:t>
            </w:r>
          </w:p>
        </w:tc>
      </w:tr>
      <w:tr>
        <w:tc>
          <w:tcPr>
            <w:tcW w:type="dxa" w:w="567"/>
          </w:tcPr>
          <w:p>
            <w:r>
              <w:t>27</w:t>
            </w:r>
          </w:p>
        </w:tc>
        <w:tc>
          <w:tcPr>
            <w:tcW w:type="dxa" w:w="567"/>
          </w:tcPr>
          <w:p>
            <w:r>
              <w:drawing>
                <wp:inline xmlns:a="http://schemas.openxmlformats.org/drawingml/2006/main" xmlns:pic="http://schemas.openxmlformats.org/drawingml/2006/picture">
                  <wp:extent cx="164592" cy="164592"/>
                  <wp:docPr id="27" name="Picture 27"/>
                  <wp:cNvGraphicFramePr>
                    <a:graphicFrameLocks noChangeAspect="1"/>
                  </wp:cNvGraphicFramePr>
                  <a:graphic>
                    <a:graphicData uri="http://schemas.openxmlformats.org/drawingml/2006/picture">
                      <pic:pic>
                        <pic:nvPicPr>
                          <pic:cNvPr id="0" name="Low.png"/>
                          <pic:cNvPicPr/>
                        </pic:nvPicPr>
                        <pic:blipFill>
                          <a:blip r:embed="rId14"/>
                          <a:stretch>
                            <a:fillRect/>
                          </a:stretch>
                        </pic:blipFill>
                        <pic:spPr>
                          <a:xfrm>
                            <a:off x="0" y="0"/>
                            <a:ext cx="164592" cy="164592"/>
                          </a:xfrm>
                          <a:prstGeom prst="rect"/>
                        </pic:spPr>
                      </pic:pic>
                    </a:graphicData>
                  </a:graphic>
                </wp:inline>
              </w:drawing>
            </w:r>
          </w:p>
        </w:tc>
        <w:tc>
          <w:tcPr>
            <w:tcW w:type="dxa" w:w="7370"/>
          </w:tcPr>
          <w:p>
            <w:r>
              <w:t>Pools with default LB Algorithm (Round Robin)</w:t>
            </w:r>
          </w:p>
        </w:tc>
      </w:tr>
      <w:tr>
        <w:tc>
          <w:tcPr>
            <w:tcW w:type="dxa" w:w="567"/>
          </w:tcPr>
          <w:p>
            <w:r>
              <w:t>28</w:t>
            </w:r>
          </w:p>
        </w:tc>
        <w:tc>
          <w:tcPr>
            <w:tcW w:type="dxa" w:w="567"/>
          </w:tcPr>
          <w:p>
            <w:r>
              <w:drawing>
                <wp:inline xmlns:a="http://schemas.openxmlformats.org/drawingml/2006/main" xmlns:pic="http://schemas.openxmlformats.org/drawingml/2006/picture">
                  <wp:extent cx="164592" cy="164592"/>
                  <wp:docPr id="28" name="Picture 28"/>
                  <wp:cNvGraphicFramePr>
                    <a:graphicFrameLocks noChangeAspect="1"/>
                  </wp:cNvGraphicFramePr>
                  <a:graphic>
                    <a:graphicData uri="http://schemas.openxmlformats.org/drawingml/2006/picture">
                      <pic:pic>
                        <pic:nvPicPr>
                          <pic:cNvPr id="0" name="Low.png"/>
                          <pic:cNvPicPr/>
                        </pic:nvPicPr>
                        <pic:blipFill>
                          <a:blip r:embed="rId14"/>
                          <a:stretch>
                            <a:fillRect/>
                          </a:stretch>
                        </pic:blipFill>
                        <pic:spPr>
                          <a:xfrm>
                            <a:off x="0" y="0"/>
                            <a:ext cx="164592" cy="164592"/>
                          </a:xfrm>
                          <a:prstGeom prst="rect"/>
                        </pic:spPr>
                      </pic:pic>
                    </a:graphicData>
                  </a:graphic>
                </wp:inline>
              </w:drawing>
            </w:r>
          </w:p>
        </w:tc>
        <w:tc>
          <w:tcPr>
            <w:tcW w:type="dxa" w:w="7370"/>
          </w:tcPr>
          <w:p>
            <w:r>
              <w:t>Avoid logging all requests for BIG-IP ASM virtual servers that run on VE platforms</w:t>
            </w:r>
          </w:p>
        </w:tc>
      </w:tr>
      <w:tr>
        <w:tc>
          <w:tcPr>
            <w:tcW w:type="dxa" w:w="567"/>
          </w:tcPr>
          <w:p>
            <w:r>
              <w:t>29</w:t>
            </w:r>
          </w:p>
        </w:tc>
        <w:tc>
          <w:tcPr>
            <w:tcW w:type="dxa" w:w="567"/>
          </w:tcPr>
          <w:p>
            <w:r>
              <w:drawing>
                <wp:inline xmlns:a="http://schemas.openxmlformats.org/drawingml/2006/main" xmlns:pic="http://schemas.openxmlformats.org/drawingml/2006/picture">
                  <wp:extent cx="164592" cy="164592"/>
                  <wp:docPr id="29" name="Picture 29"/>
                  <wp:cNvGraphicFramePr>
                    <a:graphicFrameLocks noChangeAspect="1"/>
                  </wp:cNvGraphicFramePr>
                  <a:graphic>
                    <a:graphicData uri="http://schemas.openxmlformats.org/drawingml/2006/picture">
                      <pic:pic>
                        <pic:nvPicPr>
                          <pic:cNvPr id="0" name="Low.png"/>
                          <pic:cNvPicPr/>
                        </pic:nvPicPr>
                        <pic:blipFill>
                          <a:blip r:embed="rId14"/>
                          <a:stretch>
                            <a:fillRect/>
                          </a:stretch>
                        </pic:blipFill>
                        <pic:spPr>
                          <a:xfrm>
                            <a:off x="0" y="0"/>
                            <a:ext cx="164592" cy="164592"/>
                          </a:xfrm>
                          <a:prstGeom prst="rect"/>
                        </pic:spPr>
                      </pic:pic>
                    </a:graphicData>
                  </a:graphic>
                </wp:inline>
              </w:drawing>
            </w:r>
          </w:p>
        </w:tc>
        <w:tc>
          <w:tcPr>
            <w:tcW w:type="dxa" w:w="7370"/>
          </w:tcPr>
          <w:p>
            <w:r>
              <w:t>The management interface is allowing access from public IP addresses</w:t>
            </w:r>
          </w:p>
        </w:tc>
      </w:tr>
      <w:tr>
        <w:tc>
          <w:tcPr>
            <w:tcW w:type="dxa" w:w="567"/>
          </w:tcPr>
          <w:p>
            <w:r>
              <w:t>30</w:t>
            </w:r>
          </w:p>
        </w:tc>
        <w:tc>
          <w:tcPr>
            <w:tcW w:type="dxa" w:w="567"/>
          </w:tcPr>
          <w:p>
            <w:r>
              <w:drawing>
                <wp:inline xmlns:a="http://schemas.openxmlformats.org/drawingml/2006/main" xmlns:pic="http://schemas.openxmlformats.org/drawingml/2006/picture">
                  <wp:extent cx="164592" cy="164592"/>
                  <wp:docPr id="30" name="Picture 30"/>
                  <wp:cNvGraphicFramePr>
                    <a:graphicFrameLocks noChangeAspect="1"/>
                  </wp:cNvGraphicFramePr>
                  <a:graphic>
                    <a:graphicData uri="http://schemas.openxmlformats.org/drawingml/2006/picture">
                      <pic:pic>
                        <pic:nvPicPr>
                          <pic:cNvPr id="0" name="Low.png"/>
                          <pic:cNvPicPr/>
                        </pic:nvPicPr>
                        <pic:blipFill>
                          <a:blip r:embed="rId14"/>
                          <a:stretch>
                            <a:fillRect/>
                          </a:stretch>
                        </pic:blipFill>
                        <pic:spPr>
                          <a:xfrm>
                            <a:off x="0" y="0"/>
                            <a:ext cx="164592" cy="164592"/>
                          </a:xfrm>
                          <a:prstGeom prst="rect"/>
                        </pic:spPr>
                      </pic:pic>
                    </a:graphicData>
                  </a:graphic>
                </wp:inline>
              </w:drawing>
            </w:r>
          </w:p>
        </w:tc>
        <w:tc>
          <w:tcPr>
            <w:tcW w:type="dxa" w:w="7370"/>
          </w:tcPr>
          <w:p>
            <w:r>
              <w:t>The configuration contains a SNAT automap, but no floating self IP addresses</w:t>
            </w:r>
          </w:p>
        </w:tc>
      </w:tr>
      <w:tr>
        <w:tc>
          <w:tcPr>
            <w:tcW w:type="dxa" w:w="567"/>
          </w:tcPr>
          <w:p>
            <w:r>
              <w:t>31</w:t>
            </w:r>
          </w:p>
        </w:tc>
        <w:tc>
          <w:tcPr>
            <w:tcW w:type="dxa" w:w="567"/>
          </w:tcPr>
          <w:p>
            <w:r>
              <w:drawing>
                <wp:inline xmlns:a="http://schemas.openxmlformats.org/drawingml/2006/main" xmlns:pic="http://schemas.openxmlformats.org/drawingml/2006/picture">
                  <wp:extent cx="164592" cy="164592"/>
                  <wp:docPr id="31" name="Picture 31"/>
                  <wp:cNvGraphicFramePr>
                    <a:graphicFrameLocks noChangeAspect="1"/>
                  </wp:cNvGraphicFramePr>
                  <a:graphic>
                    <a:graphicData uri="http://schemas.openxmlformats.org/drawingml/2006/picture">
                      <pic:pic>
                        <pic:nvPicPr>
                          <pic:cNvPr id="0" name="Low.png"/>
                          <pic:cNvPicPr/>
                        </pic:nvPicPr>
                        <pic:blipFill>
                          <a:blip r:embed="rId14"/>
                          <a:stretch>
                            <a:fillRect/>
                          </a:stretch>
                        </pic:blipFill>
                        <pic:spPr>
                          <a:xfrm>
                            <a:off x="0" y="0"/>
                            <a:ext cx="164592" cy="164592"/>
                          </a:xfrm>
                          <a:prstGeom prst="rect"/>
                        </pic:spPr>
                      </pic:pic>
                    </a:graphicData>
                  </a:graphic>
                </wp:inline>
              </w:drawing>
            </w:r>
          </w:p>
        </w:tc>
        <w:tc>
          <w:tcPr>
            <w:tcW w:type="dxa" w:w="7370"/>
          </w:tcPr>
          <w:p>
            <w:r>
              <w:t>Multiple definitions of static variables in iRules.</w:t>
            </w:r>
          </w:p>
        </w:tc>
      </w:tr>
    </w:tbl>
    <w:p/>
    <w:p/>
    <w:p>
      <w:pPr>
        <w:pStyle w:val="Heading2"/>
      </w:pPr>
      <w:r>
        <w:t>Health Check Findings</w:t>
      </w:r>
    </w:p>
    <w:p/>
    <w:p>
      <w:pPr>
        <w:pStyle w:val="Heading3"/>
      </w:pPr>
      <w:r>
        <w:t>Access to F5 BIGIP Mgmt Interface via Self IPs</w:t>
      </w:r>
    </w:p>
    <w:p>
      <w:pPr>
        <w:pStyle w:val="sevHigh"/>
      </w:pPr>
      <w:r>
        <w:t>Severity: High</w:t>
      </w:r>
    </w:p>
    <w:p>
      <w:r>
        <w:t>During our review we identified that some of the self IPs have allowed services configured that could allow access to management services from unintended networks. Please review the self IP configurations to ensure that only necessary services are allowed and that access is restricted to trusted sources.</w:t>
      </w:r>
    </w:p>
    <w:p/>
    <w:p>
      <w:r>
        <w:t>Review the configured selfIPs with the Allowed Services per interface.</w:t>
      </w:r>
    </w:p>
    <w:p/>
    <w:tbl>
      <w:tblPr>
        <w:tblStyle w:val="TableGrid"/>
        <w:tblW w:type="auto" w:w="0"/>
        <w:tblLook w:firstColumn="1" w:firstRow="1" w:lastColumn="0" w:lastRow="0" w:noHBand="0" w:noVBand="1" w:val="04A0"/>
      </w:tblPr>
      <w:tblGrid>
        <w:gridCol w:w="3355"/>
        <w:gridCol w:w="3355"/>
        <w:gridCol w:w="3355"/>
      </w:tblGrid>
      <w:tr>
        <w:tc>
          <w:tcPr>
            <w:tcW w:type="dxa" w:w="3355"/>
          </w:tcPr>
          <w:p>
            <w:r>
              <w:t>Self IP</w:t>
            </w:r>
          </w:p>
        </w:tc>
        <w:tc>
          <w:tcPr>
            <w:tcW w:type="dxa" w:w="3355"/>
          </w:tcPr>
          <w:p>
            <w:r>
              <w:t>Address</w:t>
            </w:r>
          </w:p>
        </w:tc>
        <w:tc>
          <w:tcPr>
            <w:tcW w:type="dxa" w:w="3355"/>
          </w:tcPr>
          <w:p>
            <w:r>
              <w:t>Allowed Services</w:t>
            </w:r>
          </w:p>
        </w:tc>
      </w:tr>
      <w:tr>
        <w:tc>
          <w:tcPr>
            <w:tcW w:type="dxa" w:w="3355"/>
          </w:tcPr>
          <w:p>
            <w:r>
              <w:t>10.1.10.5</w:t>
            </w:r>
          </w:p>
        </w:tc>
        <w:tc>
          <w:tcPr>
            <w:tcW w:type="dxa" w:w="3355"/>
          </w:tcPr>
          <w:p>
            <w:r>
              <w:t>10.1.10.5/24</w:t>
            </w:r>
          </w:p>
        </w:tc>
        <w:tc>
          <w:tcPr>
            <w:tcW w:type="dxa" w:w="3355"/>
          </w:tcPr>
          <w:p>
            <w:r>
              <w:t>all</w:t>
            </w:r>
          </w:p>
        </w:tc>
      </w:tr>
      <w:tr>
        <w:tc>
          <w:tcPr>
            <w:tcW w:type="dxa" w:w="3355"/>
          </w:tcPr>
          <w:p>
            <w:r>
              <w:t>10.1.20.5</w:t>
            </w:r>
          </w:p>
        </w:tc>
        <w:tc>
          <w:tcPr>
            <w:tcW w:type="dxa" w:w="3355"/>
          </w:tcPr>
          <w:p>
            <w:r>
              <w:t>10.1.20.5/24</w:t>
            </w:r>
          </w:p>
        </w:tc>
        <w:tc>
          <w:tcPr>
            <w:tcW w:type="dxa" w:w="3355"/>
          </w:tcPr>
          <w:p>
            <w:r>
              <w:t>all</w:t>
            </w:r>
          </w:p>
        </w:tc>
      </w:tr>
      <w:tr>
        <w:tc>
          <w:tcPr>
            <w:tcW w:type="dxa" w:w="3355"/>
          </w:tcPr>
          <w:p>
            <w:r>
              <w:t>10.1.20.6</w:t>
            </w:r>
          </w:p>
        </w:tc>
        <w:tc>
          <w:tcPr>
            <w:tcW w:type="dxa" w:w="3355"/>
          </w:tcPr>
          <w:p>
            <w:r>
              <w:t>10.1.20.6/24</w:t>
            </w:r>
          </w:p>
        </w:tc>
        <w:tc>
          <w:tcPr>
            <w:tcW w:type="dxa" w:w="3355"/>
          </w:tcPr>
          <w:p>
            <w:r>
              <w:t>all</w:t>
            </w:r>
          </w:p>
        </w:tc>
      </w:tr>
    </w:tbl>
    <w:p/>
    <w:p>
      <w:pPr>
        <w:pStyle w:val="Heading3"/>
      </w:pPr>
      <w:r>
        <w:t>Unrestricted SSH Access</w:t>
      </w:r>
    </w:p>
    <w:p>
      <w:pPr>
        <w:pStyle w:val="sevHigh"/>
      </w:pPr>
      <w:r>
        <w:t>Severity: High</w:t>
      </w:r>
    </w:p>
    <w:p>
      <w:r>
        <w:t>During our review we identified that SSH management service is not restricted or is open to all networks. It is recommended to restrict access to this service to trusted IP addresses or networks only to enhance security.</w:t>
      </w:r>
    </w:p>
    <w:p/>
    <w:p>
      <w:r>
        <w:t>Please review the KB article regarding securing SSH access: https://my.f5.com/manage/s/article/K5380</w:t>
      </w:r>
    </w:p>
    <w:p/>
    <w:p/>
    <w:p>
      <w:pPr>
        <w:pStyle w:val="Heading3"/>
      </w:pPr>
      <w:r>
        <w:t>Unrestricted HTTPD Access</w:t>
      </w:r>
    </w:p>
    <w:p>
      <w:pPr>
        <w:pStyle w:val="sevMedium"/>
      </w:pPr>
      <w:r>
        <w:t>Severity: Medium</w:t>
      </w:r>
    </w:p>
    <w:p>
      <w:r>
        <w:t>During our review we identified that HTTP management service is not restricted or is open to all networks. It is recommended to restrict access to this service to trusted IP addresses or networks only to enhance security.</w:t>
      </w:r>
    </w:p>
    <w:p/>
    <w:p>
      <w:r>
        <w:t>Please review the KB article regarding securing HTTPD access: https://my.f5.com/manage/s/article/K13309</w:t>
      </w:r>
    </w:p>
    <w:p/>
    <w:p/>
    <w:p>
      <w:pPr>
        <w:pStyle w:val="Heading3"/>
      </w:pPr>
      <w:r>
        <w:t>Password security (Maximum Login Failures not set)</w:t>
      </w:r>
    </w:p>
    <w:p>
      <w:pPr>
        <w:pStyle w:val="sevMedium"/>
      </w:pPr>
      <w:r>
        <w:t>Severity: Medium</w:t>
      </w:r>
    </w:p>
    <w:p>
      <w:r>
        <w:t>During our review we identified that Maximum Login Failures policies are not fully configured on the device. It is recommended to set a maximum number of login failures to enhance account security.</w:t>
      </w:r>
    </w:p>
    <w:p/>
    <w:p>
      <w:r>
        <w:t>Please review the KB article regarding recommended password policy settings: https://my.f5.com/manage/s/article/K15497</w:t>
      </w:r>
    </w:p>
    <w:p/>
    <w:p/>
    <w:p>
      <w:pPr>
        <w:pStyle w:val="Heading3"/>
      </w:pPr>
      <w:r>
        <w:t>Password security (History not set)</w:t>
      </w:r>
    </w:p>
    <w:p>
      <w:pPr>
        <w:pStyle w:val="sevMedium"/>
      </w:pPr>
      <w:r>
        <w:t>Severity: Medium</w:t>
      </w:r>
    </w:p>
    <w:p>
      <w:r>
        <w:t>During our review we identified that Password History policies are not fully configured on the device. It is recommended to set a password history to enhance account security.</w:t>
      </w:r>
    </w:p>
    <w:p/>
    <w:p>
      <w:r>
        <w:t>Please review the KB article regarding recommended password policy settings: https://my.f5.com/manage/s/article/K15497</w:t>
      </w:r>
    </w:p>
    <w:p/>
    <w:p/>
    <w:p>
      <w:pPr>
        <w:pStyle w:val="Heading3"/>
      </w:pPr>
      <w:r>
        <w:t>Password security (Complexity)</w:t>
      </w:r>
    </w:p>
    <w:p>
      <w:pPr>
        <w:pStyle w:val="sevMedium"/>
      </w:pPr>
      <w:r>
        <w:t>Severity: Medium</w:t>
      </w:r>
    </w:p>
    <w:p>
      <w:r>
        <w:t>During our review we identified that password policies are not fully configured on the device. It is recommended to set parameters such as minimum password length and character complexity requirements to enhance account security.</w:t>
      </w:r>
    </w:p>
    <w:p/>
    <w:p>
      <w:r>
        <w:t>Please review the KB article regarding recommended password policy settings: https://my.f5.com/manage/s/article/K15497</w:t>
      </w:r>
    </w:p>
    <w:p/>
    <w:p/>
    <w:p>
      <w:pPr>
        <w:pStyle w:val="Heading3"/>
      </w:pPr>
      <w:r>
        <w:t>HA Synchronization Issue</w:t>
      </w:r>
    </w:p>
    <w:p>
      <w:pPr>
        <w:pStyle w:val="sevHigh"/>
      </w:pPr>
      <w:r>
        <w:t>Severity: High</w:t>
      </w:r>
    </w:p>
    <w:p>
      <w:r>
        <w:t>The device shows a warning on the "Sync Status". Please review the Synchronization Warning details and mitigate the issue. A device out of sync may lead to configuration inconsistencies and potential service disruptions.</w:t>
      </w:r>
    </w:p>
    <w:p/>
    <w:p>
      <w:r>
        <w:t>--------------------------------------------------------------  Additional details  --------------------------------------------------------------</w:t>
      </w:r>
    </w:p>
    <w:p>
      <w:r>
        <w:t>bigip2.f5k8s.net: disconnected</w:t>
      </w:r>
    </w:p>
    <w:p>
      <w:r>
        <w:t>------------------------------------------------------------------------------------------------------------------------------------------------------</w:t>
      </w:r>
    </w:p>
    <w:p/>
    <w:p/>
    <w:p>
      <w:pPr>
        <w:pStyle w:val="Heading3"/>
      </w:pPr>
      <w:r>
        <w:t>iRule execution failures</w:t>
      </w:r>
    </w:p>
    <w:p>
      <w:pPr>
        <w:pStyle w:val="sevHigh"/>
      </w:pPr>
      <w:r>
        <w:t>Severity: High</w:t>
      </w:r>
    </w:p>
    <w:p>
      <w:r>
        <w:t>The device has recorded iRule execution failures. It is important to review and address these failures to ensure that iRules function correctly and do not impact application performance or availability.</w:t>
      </w:r>
    </w:p>
    <w:p/>
    <w:p>
      <w:r>
        <w:t>Review the irules that had reported Failures.</w:t>
      </w:r>
    </w:p>
    <w:p/>
    <w:tbl>
      <w:tblPr>
        <w:tblStyle w:val="TableGrid"/>
        <w:tblW w:type="auto" w:w="0"/>
        <w:tblLook w:firstColumn="1" w:firstRow="1" w:lastColumn="0" w:lastRow="0" w:noHBand="0" w:noVBand="1" w:val="04A0"/>
      </w:tblPr>
      <w:tblGrid>
        <w:gridCol w:w="2516"/>
        <w:gridCol w:w="2516"/>
        <w:gridCol w:w="2516"/>
        <w:gridCol w:w="2516"/>
      </w:tblGrid>
      <w:tr>
        <w:tc>
          <w:tcPr>
            <w:tcW w:type="dxa" w:w="2516"/>
          </w:tcPr>
          <w:p>
            <w:r>
              <w:t>iRule Name</w:t>
            </w:r>
          </w:p>
        </w:tc>
        <w:tc>
          <w:tcPr>
            <w:tcW w:type="dxa" w:w="2516"/>
          </w:tcPr>
          <w:p>
            <w:r>
              <w:t>Event</w:t>
            </w:r>
          </w:p>
        </w:tc>
        <w:tc>
          <w:tcPr>
            <w:tcW w:type="dxa" w:w="2516"/>
          </w:tcPr>
          <w:p>
            <w:r>
              <w:t>Failures</w:t>
            </w:r>
          </w:p>
        </w:tc>
        <w:tc>
          <w:tcPr>
            <w:tcW w:type="dxa" w:w="2516"/>
          </w:tcPr>
          <w:p>
            <w:r>
              <w:t>Total Executions</w:t>
            </w:r>
          </w:p>
        </w:tc>
      </w:tr>
      <w:tr>
        <w:tc>
          <w:tcPr>
            <w:tcW w:type="dxa" w:w="2516"/>
          </w:tcPr>
          <w:p>
            <w:r>
              <w:t>/Common/Shared/telemetry_local_rule</w:t>
            </w:r>
          </w:p>
        </w:tc>
        <w:tc>
          <w:tcPr>
            <w:tcW w:type="dxa" w:w="2516"/>
          </w:tcPr>
          <w:p>
            <w:r>
              <w:t>CLIENT_ACCEPTED</w:t>
            </w:r>
          </w:p>
        </w:tc>
        <w:tc>
          <w:tcPr>
            <w:tcW w:type="dxa" w:w="2516"/>
          </w:tcPr>
          <w:p>
            <w:r>
              <w:t>329</w:t>
            </w:r>
          </w:p>
        </w:tc>
        <w:tc>
          <w:tcPr>
            <w:tcW w:type="dxa" w:w="2516"/>
          </w:tcPr>
          <w:p>
            <w:r>
              <w:t>329</w:t>
            </w:r>
          </w:p>
        </w:tc>
      </w:tr>
    </w:tbl>
    <w:p/>
    <w:p>
      <w:pPr>
        <w:pStyle w:val="Heading3"/>
      </w:pPr>
      <w:r>
        <w:t>Expired or about to expire SSL certificates</w:t>
      </w:r>
    </w:p>
    <w:p>
      <w:pPr>
        <w:pStyle w:val="sevHigh"/>
      </w:pPr>
      <w:r>
        <w:t>Severity: High</w:t>
      </w:r>
    </w:p>
    <w:p>
      <w:r>
        <w:t>The device has 2 SSL certificates that are expired or about to expire (60 days). It is crucial to renew or replace these certificates promptly to maintain secure communications and prevent service disruptions due to invalid certificates.</w:t>
      </w:r>
    </w:p>
    <w:p/>
    <w:p>
      <w:r>
        <w:t xml:space="preserve">Below you can find a list of Certificates Expiring Soon (&lt; 60 days) or already expired: </w:t>
      </w:r>
    </w:p>
    <w:tbl>
      <w:tblPr>
        <w:tblStyle w:val="TableGrid"/>
        <w:tblW w:type="auto" w:w="0"/>
        <w:jc w:val="left"/>
        <w:tblLayout w:type="fixed"/>
        <w:tblLook w:firstColumn="1" w:firstRow="1" w:lastColumn="0" w:lastRow="0" w:noHBand="0" w:noVBand="1" w:val="04A0"/>
      </w:tblPr>
      <w:tblGrid>
        <w:gridCol w:w="3402"/>
        <w:gridCol w:w="1134"/>
        <w:gridCol w:w="737"/>
        <w:gridCol w:w="4535"/>
      </w:tblGrid>
      <w:tr>
        <w:tc>
          <w:tcPr>
            <w:tcW w:type="dxa" w:w="3402"/>
          </w:tcPr>
          <w:p>
            <w:r>
              <w:rPr>
                <w:b/>
                <w:sz w:val="18"/>
              </w:rPr>
              <w:t>Certificate</w:t>
            </w:r>
          </w:p>
        </w:tc>
        <w:tc>
          <w:tcPr>
            <w:tcW w:type="dxa" w:w="1134"/>
          </w:tcPr>
          <w:p>
            <w:r>
              <w:rPr>
                <w:b/>
                <w:sz w:val="18"/>
              </w:rPr>
              <w:t>Not After</w:t>
            </w:r>
          </w:p>
        </w:tc>
        <w:tc>
          <w:tcPr>
            <w:tcW w:type="dxa" w:w="737"/>
          </w:tcPr>
          <w:p>
            <w:r>
              <w:rPr>
                <w:b/>
                <w:sz w:val="18"/>
              </w:rPr>
              <w:t>Days to Expiry</w:t>
            </w:r>
          </w:p>
        </w:tc>
        <w:tc>
          <w:tcPr>
            <w:tcW w:type="dxa" w:w="4535"/>
          </w:tcPr>
          <w:p>
            <w:r>
              <w:rPr>
                <w:b/>
                <w:sz w:val="18"/>
              </w:rPr>
              <w:t>Usages</w:t>
            </w:r>
          </w:p>
        </w:tc>
      </w:tr>
      <w:tr>
        <w:tc>
          <w:tcPr>
            <w:tcW w:type="dxa" w:w="3402"/>
          </w:tcPr>
          <w:p>
            <w:r>
              <w:rPr>
                <w:sz w:val="18"/>
              </w:rPr>
              <w:t>/config/filestore/files_d/Common_d/certificate_d/:Common:app2_548780_1</w:t>
            </w:r>
          </w:p>
        </w:tc>
        <w:tc>
          <w:tcPr>
            <w:tcW w:type="dxa" w:w="1134"/>
          </w:tcPr>
          <w:p>
            <w:r>
              <w:rPr>
                <w:sz w:val="18"/>
              </w:rPr>
              <w:t>Mar  4 07:01:04 2023 GMT</w:t>
            </w:r>
          </w:p>
        </w:tc>
        <w:tc>
          <w:tcPr>
            <w:tcW w:type="dxa" w:w="737"/>
          </w:tcPr>
          <w:p>
            <w:r>
              <w:rPr>
                <w:sz w:val="18"/>
              </w:rPr>
              <w:t>-1029</w:t>
            </w:r>
          </w:p>
        </w:tc>
        <w:tc>
          <w:tcPr>
            <w:tcW w:type="dxa" w:w="4535"/>
          </w:tcPr>
          <w:p>
            <w:r>
              <w:rPr>
                <w:sz w:val="18"/>
              </w:rPr>
            </w:r>
            <w:r>
              <w:rPr>
                <w:sz w:val="18"/>
              </w:rPr>
              <w:t>clientssl | /Common/tls2 | VS: None</w:t>
            </w:r>
          </w:p>
        </w:tc>
      </w:tr>
      <w:tr>
        <w:tc>
          <w:tcPr>
            <w:tcW w:type="dxa" w:w="3402"/>
          </w:tcPr>
          <w:p>
            <w:r>
              <w:rPr>
                <w:sz w:val="18"/>
              </w:rPr>
              <w:t>/config/filestore/files_d/Common_d/certificate_d/:Common:app1_548768_1</w:t>
            </w:r>
          </w:p>
        </w:tc>
        <w:tc>
          <w:tcPr>
            <w:tcW w:type="dxa" w:w="1134"/>
          </w:tcPr>
          <w:p>
            <w:r>
              <w:rPr>
                <w:sz w:val="18"/>
              </w:rPr>
              <w:t>Mar  4 06:24:32 2023 GMT</w:t>
            </w:r>
          </w:p>
        </w:tc>
        <w:tc>
          <w:tcPr>
            <w:tcW w:type="dxa" w:w="737"/>
          </w:tcPr>
          <w:p>
            <w:r>
              <w:rPr>
                <w:sz w:val="18"/>
              </w:rPr>
              <w:t>-1029</w:t>
            </w:r>
          </w:p>
        </w:tc>
        <w:tc>
          <w:tcPr>
            <w:tcW w:type="dxa" w:w="4535"/>
          </w:tcPr>
          <w:p>
            <w:r>
              <w:rPr>
                <w:sz w:val="18"/>
              </w:rPr>
            </w:r>
            <w:r>
              <w:rPr>
                <w:sz w:val="18"/>
              </w:rPr>
              <w:t>clientssl | /Common/tls1 | VS: None</w:t>
            </w:r>
          </w:p>
        </w:tc>
      </w:tr>
    </w:tbl>
    <w:p/>
    <w:p/>
    <w:p/>
    <w:p>
      <w:pPr>
        <w:pStyle w:val="Heading3"/>
      </w:pPr>
      <w:r>
        <w:t>Missing NTP Servers</w:t>
      </w:r>
    </w:p>
    <w:p>
      <w:pPr>
        <w:pStyle w:val="sevMedium"/>
      </w:pPr>
      <w:r>
        <w:t>Severity: Medium</w:t>
      </w:r>
    </w:p>
    <w:p>
      <w:r>
        <w:t>NTP servers are not configured on the device. It is recommended to configure NTP servers to ensure accurate time synchronization.</w:t>
      </w:r>
    </w:p>
    <w:p/>
    <w:p/>
    <w:p>
      <w:pPr>
        <w:pStyle w:val="Heading3"/>
      </w:pPr>
      <w:r>
        <w:t>Only default HTTP(s) Monitors</w:t>
      </w:r>
    </w:p>
    <w:p>
      <w:pPr>
        <w:pStyle w:val="sevMedium"/>
      </w:pPr>
      <w:r>
        <w:t>Severity: Medium</w:t>
      </w:r>
    </w:p>
    <w:p>
      <w:r>
        <w:t>The device is using only the default monitors and you have not customized any HTTP or HTTPS monitors. It is recommended to create custom monitors tailored to your specific application needs to ensure accurate health monitoring and optimal performance.</w:t>
      </w:r>
    </w:p>
    <w:p/>
    <w:p>
      <w:r>
        <w:t>Review the configured HTTP(s) monitors and adjust them as per your application requirements.</w:t>
      </w:r>
    </w:p>
    <w:p/>
    <w:tbl>
      <w:tblPr>
        <w:tblStyle w:val="TableGrid"/>
        <w:tblW w:type="auto" w:w="0"/>
        <w:tblLook w:firstColumn="1" w:firstRow="1" w:lastColumn="0" w:lastRow="0" w:noHBand="0" w:noVBand="1" w:val="04A0"/>
      </w:tblPr>
      <w:tblGrid>
        <w:gridCol w:w="1677"/>
        <w:gridCol w:w="1677"/>
        <w:gridCol w:w="1677"/>
        <w:gridCol w:w="1677"/>
        <w:gridCol w:w="1677"/>
        <w:gridCol w:w="1677"/>
      </w:tblGrid>
      <w:tr>
        <w:tc>
          <w:tcPr>
            <w:tcW w:type="dxa" w:w="1677"/>
          </w:tcPr>
          <w:p>
            <w:r>
              <w:t>Name</w:t>
            </w:r>
          </w:p>
        </w:tc>
        <w:tc>
          <w:tcPr>
            <w:tcW w:type="dxa" w:w="1677"/>
          </w:tcPr>
          <w:p>
            <w:r>
              <w:t>Type</w:t>
            </w:r>
          </w:p>
        </w:tc>
        <w:tc>
          <w:tcPr>
            <w:tcW w:type="dxa" w:w="1677"/>
          </w:tcPr>
          <w:p>
            <w:r>
              <w:t>Interval</w:t>
            </w:r>
          </w:p>
        </w:tc>
        <w:tc>
          <w:tcPr>
            <w:tcW w:type="dxa" w:w="1677"/>
          </w:tcPr>
          <w:p>
            <w:r>
              <w:t>Timeout</w:t>
            </w:r>
          </w:p>
        </w:tc>
        <w:tc>
          <w:tcPr>
            <w:tcW w:type="dxa" w:w="1677"/>
          </w:tcPr>
          <w:p>
            <w:r>
              <w:t>Send String</w:t>
            </w:r>
          </w:p>
        </w:tc>
        <w:tc>
          <w:tcPr>
            <w:tcW w:type="dxa" w:w="1677"/>
          </w:tcPr>
          <w:p>
            <w:r>
              <w:t>Receive String</w:t>
            </w:r>
          </w:p>
        </w:tc>
      </w:tr>
      <w:tr>
        <w:tc>
          <w:tcPr>
            <w:tcW w:type="dxa" w:w="1677"/>
          </w:tcPr>
          <w:p>
            <w:r>
              <w:t>/Common/http</w:t>
            </w:r>
          </w:p>
        </w:tc>
        <w:tc>
          <w:tcPr>
            <w:tcW w:type="dxa" w:w="1677"/>
          </w:tcPr>
          <w:p>
            <w:r>
              <w:t>HTTP</w:t>
            </w:r>
          </w:p>
        </w:tc>
        <w:tc>
          <w:tcPr>
            <w:tcW w:type="dxa" w:w="1677"/>
          </w:tcPr>
          <w:p>
            <w:r>
              <w:t>5</w:t>
            </w:r>
          </w:p>
        </w:tc>
        <w:tc>
          <w:tcPr>
            <w:tcW w:type="dxa" w:w="1677"/>
          </w:tcPr>
          <w:p>
            <w:r>
              <w:t>16</w:t>
            </w:r>
          </w:p>
        </w:tc>
        <w:tc>
          <w:tcPr>
            <w:tcW w:type="dxa" w:w="1677"/>
          </w:tcPr>
          <w:p>
            <w:r>
              <w:t>GET /\r\n</w:t>
            </w:r>
          </w:p>
        </w:tc>
        <w:tc>
          <w:tcPr>
            <w:tcW w:type="dxa" w:w="1677"/>
          </w:tcPr>
          <w:p>
            <w:r>
              <w:t>N/A</w:t>
            </w:r>
          </w:p>
        </w:tc>
      </w:tr>
      <w:tr>
        <w:tc>
          <w:tcPr>
            <w:tcW w:type="dxa" w:w="1677"/>
          </w:tcPr>
          <w:p>
            <w:r>
              <w:t>/Common/https</w:t>
            </w:r>
          </w:p>
        </w:tc>
        <w:tc>
          <w:tcPr>
            <w:tcW w:type="dxa" w:w="1677"/>
          </w:tcPr>
          <w:p>
            <w:r>
              <w:t>HTTPS</w:t>
            </w:r>
          </w:p>
        </w:tc>
        <w:tc>
          <w:tcPr>
            <w:tcW w:type="dxa" w:w="1677"/>
          </w:tcPr>
          <w:p>
            <w:r>
              <w:t>5</w:t>
            </w:r>
          </w:p>
        </w:tc>
        <w:tc>
          <w:tcPr>
            <w:tcW w:type="dxa" w:w="1677"/>
          </w:tcPr>
          <w:p>
            <w:r>
              <w:t>16</w:t>
            </w:r>
          </w:p>
        </w:tc>
        <w:tc>
          <w:tcPr>
            <w:tcW w:type="dxa" w:w="1677"/>
          </w:tcPr>
          <w:p>
            <w:r>
              <w:t>GET /\r\n</w:t>
            </w:r>
          </w:p>
        </w:tc>
        <w:tc>
          <w:tcPr>
            <w:tcW w:type="dxa" w:w="1677"/>
          </w:tcPr>
          <w:p>
            <w:r>
              <w:t>N/A</w:t>
            </w:r>
          </w:p>
        </w:tc>
      </w:tr>
      <w:tr>
        <w:tc>
          <w:tcPr>
            <w:tcW w:type="dxa" w:w="1677"/>
          </w:tcPr>
          <w:p>
            <w:r>
              <w:t>/Common/https_443</w:t>
            </w:r>
          </w:p>
        </w:tc>
        <w:tc>
          <w:tcPr>
            <w:tcW w:type="dxa" w:w="1677"/>
          </w:tcPr>
          <w:p>
            <w:r>
              <w:t>HTTPS</w:t>
            </w:r>
          </w:p>
        </w:tc>
        <w:tc>
          <w:tcPr>
            <w:tcW w:type="dxa" w:w="1677"/>
          </w:tcPr>
          <w:p>
            <w:r>
              <w:t>5</w:t>
            </w:r>
          </w:p>
        </w:tc>
        <w:tc>
          <w:tcPr>
            <w:tcW w:type="dxa" w:w="1677"/>
          </w:tcPr>
          <w:p>
            <w:r>
              <w:t>16</w:t>
            </w:r>
          </w:p>
        </w:tc>
        <w:tc>
          <w:tcPr>
            <w:tcW w:type="dxa" w:w="1677"/>
          </w:tcPr>
          <w:p>
            <w:r>
              <w:t>GET /\r\n</w:t>
            </w:r>
          </w:p>
        </w:tc>
        <w:tc>
          <w:tcPr>
            <w:tcW w:type="dxa" w:w="1677"/>
          </w:tcPr>
          <w:p>
            <w:r>
              <w:t>N/A</w:t>
            </w:r>
          </w:p>
        </w:tc>
      </w:tr>
      <w:tr>
        <w:tc>
          <w:tcPr>
            <w:tcW w:type="dxa" w:w="1677"/>
          </w:tcPr>
          <w:p>
            <w:r>
              <w:t>/Common/https_head_f5</w:t>
            </w:r>
          </w:p>
        </w:tc>
        <w:tc>
          <w:tcPr>
            <w:tcW w:type="dxa" w:w="1677"/>
          </w:tcPr>
          <w:p>
            <w:r>
              <w:t>HTTPS</w:t>
            </w:r>
          </w:p>
        </w:tc>
        <w:tc>
          <w:tcPr>
            <w:tcW w:type="dxa" w:w="1677"/>
          </w:tcPr>
          <w:p>
            <w:r>
              <w:t>5</w:t>
            </w:r>
          </w:p>
        </w:tc>
        <w:tc>
          <w:tcPr>
            <w:tcW w:type="dxa" w:w="1677"/>
          </w:tcPr>
          <w:p>
            <w:r>
              <w:t>16</w:t>
            </w:r>
          </w:p>
        </w:tc>
        <w:tc>
          <w:tcPr>
            <w:tcW w:type="dxa" w:w="1677"/>
          </w:tcPr>
          <w:p>
            <w:r>
              <w:t>HEAD / HTTP/1.0\r\n\r\n</w:t>
            </w:r>
          </w:p>
        </w:tc>
        <w:tc>
          <w:tcPr>
            <w:tcW w:type="dxa" w:w="1677"/>
          </w:tcPr>
          <w:p>
            <w:r>
              <w:t>Server\:</w:t>
            </w:r>
          </w:p>
        </w:tc>
      </w:tr>
    </w:tbl>
    <w:p/>
    <w:p>
      <w:pPr>
        <w:pStyle w:val="Heading3"/>
      </w:pPr>
      <w:r>
        <w:t>Pools without Monitors</w:t>
      </w:r>
    </w:p>
    <w:p>
      <w:pPr>
        <w:pStyle w:val="sevMedium"/>
      </w:pPr>
      <w:r>
        <w:t>Severity: Medium</w:t>
      </w:r>
    </w:p>
    <w:p>
      <w:r>
        <w:t>11  out of 17 pools have been identified that have no monitor assined. It is recommended to assign appropriate monitors to all pools to ensure proper health monitoring and optimal performance.</w:t>
      </w:r>
    </w:p>
    <w:p/>
    <w:p>
      <w:r>
        <w:t>--------------------------------------------------------------  Additional details  --------------------------------------------------------------</w:t>
      </w:r>
    </w:p>
    <w:p>
      <w:r>
        <w:t xml:space="preserve">Below you can find a list of pools (up to 10) that don't have assigned monitors: </w:t>
      </w:r>
    </w:p>
    <w:p>
      <w:r>
        <w:t>- /k3s-2/Shared/k3s_nginx_ingress_prod_443_nginx</w:t>
      </w:r>
    </w:p>
    <w:p>
      <w:r>
        <w:t>- /k3s-2/Shared/k3s_nginx_ingress_prod_80_nginx</w:t>
      </w:r>
    </w:p>
    <w:p>
      <w:r>
        <w:t>- /k8s-1/Shared/app1_svc_80_default</w:t>
      </w:r>
    </w:p>
    <w:p>
      <w:r>
        <w:t>- /k8s-1/Shared/echo_svc_80_default</w:t>
      </w:r>
    </w:p>
    <w:p>
      <w:r>
        <w:t>- /k8s-1/Shared/echo_svc_80_default_policy_f5demo_local</w:t>
      </w:r>
    </w:p>
    <w:p>
      <w:r>
        <w:t>- /k8s-1/Shared/k3s_nginx_ingress_prod_443_nginx</w:t>
      </w:r>
    </w:p>
    <w:p>
      <w:r>
        <w:t>- /k8s-1/Shared/k3s_nginx_ingress_prod_80_nginx</w:t>
      </w:r>
    </w:p>
    <w:p>
      <w:r>
        <w:t>- /k8s-1/Shared/myapp_svc_80_default_single_pool_1_f5k8s_net</w:t>
      </w:r>
    </w:p>
    <w:p>
      <w:r>
        <w:t>- /k8s-1/Shared/myapp_svc_80_default_single_pool_2_f5k8s_net</w:t>
      </w:r>
    </w:p>
    <w:p>
      <w:r>
        <w:t>- /k8s-1/Shared/readiness_svc_8080_default_readiness_f5demo_local</w:t>
      </w:r>
    </w:p>
    <w:p>
      <w:r>
        <w:t>------------------------------------------------------------------------------------------------------------------------------------------------------</w:t>
      </w:r>
    </w:p>
    <w:p/>
    <w:p>
      <w:pPr>
        <w:pStyle w:val="Heading3"/>
      </w:pPr>
      <w:r>
        <w:t>Pools with default LB Algorithm (Round Robin)</w:t>
      </w:r>
    </w:p>
    <w:p>
      <w:pPr>
        <w:pStyle w:val="sevLow"/>
      </w:pPr>
      <w:r>
        <w:t>Severity: Low</w:t>
      </w:r>
    </w:p>
    <w:p>
      <w:r>
        <w:t>17 out of 17 pools have been identified that they are using 'round-robin' as load balancing mode. It is recommended to review the load balancing methods used and consider more advanced algorithms that better suit the application requirements.</w:t>
      </w:r>
    </w:p>
    <w:p/>
    <w:p>
      <w:r>
        <w:t>--------------------------------------------------------------  Additional details  --------------------------------------------------------------</w:t>
      </w:r>
    </w:p>
    <w:p>
      <w:r>
        <w:t xml:space="preserve">Below you can find a list of pools (up to 10) that have Round Robin as the configured method: </w:t>
      </w:r>
    </w:p>
    <w:p>
      <w:r>
        <w:t>- Shared/telemetry</w:t>
      </w:r>
    </w:p>
    <w:p>
      <w:r>
        <w:t>- /gitlab/gitlab-pool</w:t>
      </w:r>
    </w:p>
    <w:p>
      <w:r>
        <w:t>- /gitlab/gitlab-pool-ssl</w:t>
      </w:r>
    </w:p>
    <w:p>
      <w:r>
        <w:t>- /gitlab/vscode_pool</w:t>
      </w:r>
    </w:p>
    <w:p>
      <w:r>
        <w:t>- /k3s-2/Shared/awx_demo_service_80_awx</w:t>
      </w:r>
    </w:p>
    <w:p>
      <w:r>
        <w:t>- /k3s-2/Shared/k3s_nginx_ingress_prod_443_nginx</w:t>
      </w:r>
    </w:p>
    <w:p>
      <w:r>
        <w:t>- /k3s-2/Shared/k3s_nginx_ingress_prod_80_nginx</w:t>
      </w:r>
    </w:p>
    <w:p>
      <w:r>
        <w:t>- /k8s-1/Shared/app1_svc_80_default</w:t>
      </w:r>
    </w:p>
    <w:p>
      <w:r>
        <w:t>- /k8s-1/Shared/argocd_server_8080_argocd</w:t>
      </w:r>
    </w:p>
    <w:p>
      <w:r>
        <w:t>- /k8s-1/Shared/echo_svc_80_default</w:t>
      </w:r>
    </w:p>
    <w:p>
      <w:r>
        <w:t>------------------------------------------------------------------------------------------------------------------------------------------------------</w:t>
      </w:r>
    </w:p>
    <w:p>
      <w:pPr>
        <w:pStyle w:val="Heading3"/>
      </w:pPr>
      <w:r>
        <w:t>Security Diagnostics Summary</w:t>
      </w:r>
    </w:p>
    <w:p>
      <w:r>
        <w:t>Please find below all the CVEs that we have identified on your system.</w:t>
      </w:r>
    </w:p>
    <w:tbl>
      <w:tblPr>
        <w:tblStyle w:val="TableGrid"/>
        <w:tblW w:type="auto" w:w="0"/>
        <w:tblLook w:firstColumn="1" w:firstRow="1" w:lastColumn="0" w:lastRow="0" w:noHBand="0" w:noVBand="1" w:val="04A0"/>
      </w:tblPr>
      <w:tblGrid>
        <w:gridCol w:w="1984"/>
        <w:gridCol w:w="850"/>
        <w:gridCol w:w="1134"/>
        <w:gridCol w:w="5102"/>
        <w:gridCol w:w="340"/>
      </w:tblGrid>
      <w:tr>
        <w:tc>
          <w:tcPr>
            <w:tcW w:type="dxa" w:w="1984"/>
          </w:tcPr>
          <w:p>
            <w:r>
              <w:t>CVE</w:t>
            </w:r>
          </w:p>
        </w:tc>
        <w:tc>
          <w:tcPr>
            <w:tcW w:type="dxa" w:w="850"/>
          </w:tcPr>
          <w:p>
            <w:r>
              <w:t>Importance</w:t>
            </w:r>
          </w:p>
        </w:tc>
        <w:tc>
          <w:tcPr>
            <w:tcW w:type="dxa" w:w="1134"/>
          </w:tcPr>
          <w:p>
            <w:r>
              <w:t>Solution ID</w:t>
            </w:r>
          </w:p>
        </w:tc>
        <w:tc>
          <w:tcPr>
            <w:tcW w:type="dxa" w:w="5102"/>
          </w:tcPr>
          <w:p>
            <w:r>
              <w:t>Summary</w:t>
            </w:r>
          </w:p>
        </w:tc>
        <w:tc>
          <w:tcPr>
            <w:tcW w:type="dxa" w:w="340"/>
          </w:tcPr>
          <w:p>
            <w:r>
              <w:t>FixedInVer</w:t>
            </w:r>
          </w:p>
        </w:tc>
      </w:tr>
      <w:tr>
        <w:tc>
          <w:tcPr>
            <w:tcW w:type="dxa" w:w="1984"/>
          </w:tcPr>
          <w:p>
            <w:r>
              <w:t>CVE-2024-25062</w:t>
            </w:r>
          </w:p>
        </w:tc>
        <w:tc>
          <w:tcPr>
            <w:tcW w:type="dxa" w:w="850"/>
          </w:tcPr>
          <w:p>
            <w:r>
              <w:t>Medium</w:t>
            </w:r>
          </w:p>
        </w:tc>
        <w:tc>
          <w:tcPr>
            <w:tcW w:type="dxa" w:w="1134"/>
          </w:tcPr>
          <w:p>
            <w:r>
              <w:t>K000141357</w:t>
            </w:r>
          </w:p>
        </w:tc>
        <w:tc>
          <w:tcPr>
            <w:tcW w:type="dxa" w:w="5102"/>
          </w:tcPr>
          <w:p>
            <w:r>
              <w:t>libxml2 vulnerability CVE-2024-25062</w:t>
            </w:r>
          </w:p>
        </w:tc>
        <w:tc>
          <w:tcPr>
            <w:tcW w:type="dxa" w:w="340"/>
          </w:tcPr>
          <w:p>
            <w:r>
              <w:t>16.1.6.0</w:t>
              <w:br/>
              <w:t xml:space="preserve"> 17.1.2.2</w:t>
              <w:br/>
              <w:t xml:space="preserve"> 17.5.0.0</w:t>
            </w:r>
          </w:p>
        </w:tc>
      </w:tr>
      <w:tr>
        <w:tc>
          <w:tcPr>
            <w:tcW w:type="dxa" w:w="1984"/>
          </w:tcPr>
          <w:p>
            <w:r>
              <w:t>CVE-2025-58424</w:t>
            </w:r>
          </w:p>
        </w:tc>
        <w:tc>
          <w:tcPr>
            <w:tcW w:type="dxa" w:w="850"/>
          </w:tcPr>
          <w:p>
            <w:r>
              <w:t>Medium</w:t>
            </w:r>
          </w:p>
        </w:tc>
        <w:tc>
          <w:tcPr>
            <w:tcW w:type="dxa" w:w="1134"/>
          </w:tcPr>
          <w:p>
            <w:r>
              <w:t>K000151297</w:t>
            </w:r>
          </w:p>
        </w:tc>
        <w:tc>
          <w:tcPr>
            <w:tcW w:type="dxa" w:w="5102"/>
          </w:tcPr>
          <w:p>
            <w:r>
              <w:t>BIG-IP TMM vulnerability CVE-2025-58424</w:t>
            </w:r>
          </w:p>
        </w:tc>
        <w:tc>
          <w:tcPr>
            <w:tcW w:type="dxa" w:w="340"/>
          </w:tcPr>
          <w:p>
            <w:r/>
          </w:p>
        </w:tc>
      </w:tr>
      <w:tr>
        <w:tc>
          <w:tcPr>
            <w:tcW w:type="dxa" w:w="1984"/>
          </w:tcPr>
          <w:p>
            <w:r>
              <w:t>CVE-2025-59269</w:t>
            </w:r>
          </w:p>
        </w:tc>
        <w:tc>
          <w:tcPr>
            <w:tcW w:type="dxa" w:w="850"/>
          </w:tcPr>
          <w:p>
            <w:r>
              <w:t>High</w:t>
            </w:r>
          </w:p>
        </w:tc>
        <w:tc>
          <w:tcPr>
            <w:tcW w:type="dxa" w:w="1134"/>
          </w:tcPr>
          <w:p>
            <w:r>
              <w:t>K000151308</w:t>
            </w:r>
          </w:p>
        </w:tc>
        <w:tc>
          <w:tcPr>
            <w:tcW w:type="dxa" w:w="5102"/>
          </w:tcPr>
          <w:p>
            <w:r>
              <w:t>BIG-IP Configuration utility XSS vulnerability CVE-2025-59269</w:t>
            </w:r>
          </w:p>
        </w:tc>
        <w:tc>
          <w:tcPr>
            <w:tcW w:type="dxa" w:w="340"/>
          </w:tcPr>
          <w:p>
            <w:r>
              <w:t>15.1.10.8</w:t>
              <w:br/>
              <w:t xml:space="preserve"> 16.1.6.1</w:t>
              <w:br/>
              <w:t xml:space="preserve"> 17.1.3.0</w:t>
              <w:br/>
              <w:t xml:space="preserve"> 17.5.1.3</w:t>
            </w:r>
          </w:p>
        </w:tc>
      </w:tr>
      <w:tr>
        <w:tc>
          <w:tcPr>
            <w:tcW w:type="dxa" w:w="1984"/>
          </w:tcPr>
          <w:p>
            <w:r>
              <w:t>CVE-2025-61951</w:t>
            </w:r>
          </w:p>
        </w:tc>
        <w:tc>
          <w:tcPr>
            <w:tcW w:type="dxa" w:w="850"/>
          </w:tcPr>
          <w:p>
            <w:r>
              <w:t>High</w:t>
            </w:r>
          </w:p>
        </w:tc>
        <w:tc>
          <w:tcPr>
            <w:tcW w:type="dxa" w:w="1134"/>
          </w:tcPr>
          <w:p>
            <w:r>
              <w:t>K000151309</w:t>
            </w:r>
          </w:p>
        </w:tc>
        <w:tc>
          <w:tcPr>
            <w:tcW w:type="dxa" w:w="5102"/>
          </w:tcPr>
          <w:p>
            <w:r>
              <w:t>BIG-IP DTLS 1.2 vulnerability CVE-2025-61951</w:t>
            </w:r>
          </w:p>
        </w:tc>
        <w:tc>
          <w:tcPr>
            <w:tcW w:type="dxa" w:w="340"/>
          </w:tcPr>
          <w:p>
            <w:r>
              <w:t>16.1.6.1</w:t>
              <w:br/>
              <w:t xml:space="preserve"> 17.1.3.0</w:t>
              <w:br/>
              <w:t xml:space="preserve"> 17.5.1.0</w:t>
            </w:r>
          </w:p>
        </w:tc>
      </w:tr>
      <w:tr>
        <w:tc>
          <w:tcPr>
            <w:tcW w:type="dxa" w:w="1984"/>
          </w:tcPr>
          <w:p>
            <w:r>
              <w:t>CVE-2025-46706</w:t>
            </w:r>
          </w:p>
        </w:tc>
        <w:tc>
          <w:tcPr>
            <w:tcW w:type="dxa" w:w="850"/>
          </w:tcPr>
          <w:p>
            <w:r>
              <w:t>High</w:t>
            </w:r>
          </w:p>
        </w:tc>
        <w:tc>
          <w:tcPr>
            <w:tcW w:type="dxa" w:w="1134"/>
          </w:tcPr>
          <w:p>
            <w:r>
              <w:t>K000151611</w:t>
            </w:r>
          </w:p>
        </w:tc>
        <w:tc>
          <w:tcPr>
            <w:tcW w:type="dxa" w:w="5102"/>
          </w:tcPr>
          <w:p>
            <w:r>
              <w:t>BIG-IP iRules vulnerability CVE-2025-46706</w:t>
            </w:r>
          </w:p>
        </w:tc>
        <w:tc>
          <w:tcPr>
            <w:tcW w:type="dxa" w:w="340"/>
          </w:tcPr>
          <w:p>
            <w:r>
              <w:t>16.1.6.0</w:t>
              <w:br/>
              <w:t xml:space="preserve"> 17.1.2.2</w:t>
              <w:br/>
              <w:t xml:space="preserve"> 17.5.0.0</w:t>
            </w:r>
          </w:p>
        </w:tc>
      </w:tr>
      <w:tr>
        <w:tc>
          <w:tcPr>
            <w:tcW w:type="dxa" w:w="1984"/>
          </w:tcPr>
          <w:p>
            <w:r>
              <w:t>CVE-2025-61958</w:t>
            </w:r>
          </w:p>
        </w:tc>
        <w:tc>
          <w:tcPr>
            <w:tcW w:type="dxa" w:w="850"/>
          </w:tcPr>
          <w:p>
            <w:r>
              <w:t>High</w:t>
            </w:r>
          </w:p>
        </w:tc>
        <w:tc>
          <w:tcPr>
            <w:tcW w:type="dxa" w:w="1134"/>
          </w:tcPr>
          <w:p>
            <w:r>
              <w:t>K000154647</w:t>
            </w:r>
          </w:p>
        </w:tc>
        <w:tc>
          <w:tcPr>
            <w:tcW w:type="dxa" w:w="5102"/>
          </w:tcPr>
          <w:p>
            <w:r>
              <w:t>BIG-IP TMSH vulnerability CVE-2025-61958</w:t>
            </w:r>
          </w:p>
        </w:tc>
        <w:tc>
          <w:tcPr>
            <w:tcW w:type="dxa" w:w="340"/>
          </w:tcPr>
          <w:p>
            <w:r>
              <w:t>15.1.10.8</w:t>
              <w:br/>
              <w:t xml:space="preserve"> 16.1.6.1</w:t>
              <w:br/>
              <w:t xml:space="preserve"> 17.1.3.0</w:t>
              <w:br/>
              <w:t xml:space="preserve"> 17.5.1.1</w:t>
            </w:r>
          </w:p>
        </w:tc>
      </w:tr>
      <w:tr>
        <w:tc>
          <w:tcPr>
            <w:tcW w:type="dxa" w:w="1984"/>
          </w:tcPr>
          <w:p>
            <w:r>
              <w:t>CVE-2025-61935</w:t>
            </w:r>
          </w:p>
        </w:tc>
        <w:tc>
          <w:tcPr>
            <w:tcW w:type="dxa" w:w="850"/>
          </w:tcPr>
          <w:p>
            <w:r>
              <w:t>High</w:t>
            </w:r>
          </w:p>
        </w:tc>
        <w:tc>
          <w:tcPr>
            <w:tcW w:type="dxa" w:w="1134"/>
          </w:tcPr>
          <w:p>
            <w:r>
              <w:t>K000154664</w:t>
            </w:r>
          </w:p>
        </w:tc>
        <w:tc>
          <w:tcPr>
            <w:tcW w:type="dxa" w:w="5102"/>
          </w:tcPr>
          <w:p>
            <w:r>
              <w:t>BIG-IP Advanced WAF and ASM vulnerability CVE-2025-61935</w:t>
            </w:r>
          </w:p>
        </w:tc>
        <w:tc>
          <w:tcPr>
            <w:tcW w:type="dxa" w:w="340"/>
          </w:tcPr>
          <w:p>
            <w:r>
              <w:t>15.1.10.8</w:t>
              <w:br/>
              <w:t xml:space="preserve"> 17.1.3.0</w:t>
              <w:br/>
              <w:t xml:space="preserve"> 17.5.1.0</w:t>
            </w:r>
          </w:p>
        </w:tc>
      </w:tr>
      <w:tr>
        <w:tc>
          <w:tcPr>
            <w:tcW w:type="dxa" w:w="1984"/>
          </w:tcPr>
          <w:p>
            <w:r>
              <w:t>CVE-2025-61933</w:t>
            </w:r>
          </w:p>
        </w:tc>
        <w:tc>
          <w:tcPr>
            <w:tcW w:type="dxa" w:w="850"/>
          </w:tcPr>
          <w:p>
            <w:r>
              <w:t>Medium</w:t>
            </w:r>
          </w:p>
        </w:tc>
        <w:tc>
          <w:tcPr>
            <w:tcW w:type="dxa" w:w="1134"/>
          </w:tcPr>
          <w:p>
            <w:r>
              <w:t>K000156596</w:t>
            </w:r>
          </w:p>
        </w:tc>
        <w:tc>
          <w:tcPr>
            <w:tcW w:type="dxa" w:w="5102"/>
          </w:tcPr>
          <w:p>
            <w:r>
              <w:t>BIG-IP APM cross-site scripting (XSS) vulnerability CVE-2025-61933</w:t>
            </w:r>
          </w:p>
        </w:tc>
        <w:tc>
          <w:tcPr>
            <w:tcW w:type="dxa" w:w="340"/>
          </w:tcPr>
          <w:p>
            <w:r>
              <w:t>15.1.10.8</w:t>
              <w:br/>
              <w:t xml:space="preserve"> 16.1.6.1</w:t>
              <w:br/>
              <w:t xml:space="preserve"> 17.1.3.0</w:t>
              <w:br/>
              <w:t xml:space="preserve"> 17.5.1.3</w:t>
            </w:r>
          </w:p>
        </w:tc>
      </w:tr>
      <w:tr>
        <w:tc>
          <w:tcPr>
            <w:tcW w:type="dxa" w:w="1984"/>
          </w:tcPr>
          <w:p>
            <w:r>
              <w:t>CVE-2025-54854</w:t>
            </w:r>
          </w:p>
        </w:tc>
        <w:tc>
          <w:tcPr>
            <w:tcW w:type="dxa" w:w="850"/>
          </w:tcPr>
          <w:p>
            <w:r>
              <w:t>High</w:t>
            </w:r>
          </w:p>
        </w:tc>
        <w:tc>
          <w:tcPr>
            <w:tcW w:type="dxa" w:w="1134"/>
          </w:tcPr>
          <w:p>
            <w:r>
              <w:t>K000156602</w:t>
            </w:r>
          </w:p>
        </w:tc>
        <w:tc>
          <w:tcPr>
            <w:tcW w:type="dxa" w:w="5102"/>
          </w:tcPr>
          <w:p>
            <w:r>
              <w:t>BIG-IP APM vulnerability CVE-2025-54854</w:t>
            </w:r>
          </w:p>
        </w:tc>
        <w:tc>
          <w:tcPr>
            <w:tcW w:type="dxa" w:w="340"/>
          </w:tcPr>
          <w:p>
            <w:r>
              <w:t>15.1.10.8</w:t>
              <w:br/>
              <w:t xml:space="preserve"> 16.1.6.1</w:t>
              <w:br/>
              <w:t xml:space="preserve"> 17.1.3.0</w:t>
              <w:br/>
              <w:t xml:space="preserve"> 17.5.1.3</w:t>
            </w:r>
          </w:p>
        </w:tc>
      </w:tr>
      <w:tr>
        <w:tc>
          <w:tcPr>
            <w:tcW w:type="dxa" w:w="1984"/>
          </w:tcPr>
          <w:p>
            <w:r>
              <w:t>CVE-2025-54858</w:t>
            </w:r>
          </w:p>
        </w:tc>
        <w:tc>
          <w:tcPr>
            <w:tcW w:type="dxa" w:w="850"/>
          </w:tcPr>
          <w:p>
            <w:r>
              <w:t>High</w:t>
            </w:r>
          </w:p>
        </w:tc>
        <w:tc>
          <w:tcPr>
            <w:tcW w:type="dxa" w:w="1134"/>
          </w:tcPr>
          <w:p>
            <w:r>
              <w:t>K000156621</w:t>
            </w:r>
          </w:p>
        </w:tc>
        <w:tc>
          <w:tcPr>
            <w:tcW w:type="dxa" w:w="5102"/>
          </w:tcPr>
          <w:p>
            <w:r>
              <w:t>BIG-IP Advanced WAF and ASM vulnerability CVE-2025-54858</w:t>
            </w:r>
          </w:p>
        </w:tc>
        <w:tc>
          <w:tcPr>
            <w:tcW w:type="dxa" w:w="340"/>
          </w:tcPr>
          <w:p>
            <w:r>
              <w:t>15.1.10.8</w:t>
              <w:br/>
              <w:t xml:space="preserve"> 16.1.6.1</w:t>
              <w:br/>
              <w:t xml:space="preserve"> 17.1.3.0</w:t>
              <w:br/>
              <w:t xml:space="preserve"> 17.5.1.3</w:t>
            </w:r>
          </w:p>
        </w:tc>
      </w:tr>
      <w:tr>
        <w:tc>
          <w:tcPr>
            <w:tcW w:type="dxa" w:w="1984"/>
          </w:tcPr>
          <w:p>
            <w:r>
              <w:t>CVE-2025-61938</w:t>
            </w:r>
          </w:p>
        </w:tc>
        <w:tc>
          <w:tcPr>
            <w:tcW w:type="dxa" w:w="850"/>
          </w:tcPr>
          <w:p>
            <w:r>
              <w:t>High</w:t>
            </w:r>
          </w:p>
        </w:tc>
        <w:tc>
          <w:tcPr>
            <w:tcW w:type="dxa" w:w="1134"/>
          </w:tcPr>
          <w:p>
            <w:r>
              <w:t>K000156624</w:t>
            </w:r>
          </w:p>
        </w:tc>
        <w:tc>
          <w:tcPr>
            <w:tcW w:type="dxa" w:w="5102"/>
          </w:tcPr>
          <w:p>
            <w:r>
              <w:t>BIG-IP Advanced WAF and BIG-IP ASM bd process vulnerability CVE-2025-61938</w:t>
            </w:r>
          </w:p>
        </w:tc>
        <w:tc>
          <w:tcPr>
            <w:tcW w:type="dxa" w:w="340"/>
          </w:tcPr>
          <w:p>
            <w:r>
              <w:t>17.1.3.0</w:t>
              <w:br/>
              <w:t xml:space="preserve"> 17.5.1.0</w:t>
            </w:r>
          </w:p>
        </w:tc>
      </w:tr>
      <w:tr>
        <w:tc>
          <w:tcPr>
            <w:tcW w:type="dxa" w:w="1984"/>
          </w:tcPr>
          <w:p>
            <w:r>
              <w:t>CVE-2025-59481</w:t>
            </w:r>
          </w:p>
        </w:tc>
        <w:tc>
          <w:tcPr>
            <w:tcW w:type="dxa" w:w="850"/>
          </w:tcPr>
          <w:p>
            <w:r>
              <w:t>High</w:t>
            </w:r>
          </w:p>
        </w:tc>
        <w:tc>
          <w:tcPr>
            <w:tcW w:type="dxa" w:w="1134"/>
          </w:tcPr>
          <w:p>
            <w:r>
              <w:t>K000156642</w:t>
            </w:r>
          </w:p>
        </w:tc>
        <w:tc>
          <w:tcPr>
            <w:tcW w:type="dxa" w:w="5102"/>
          </w:tcPr>
          <w:p>
            <w:r>
              <w:t>BIG-IP iControl REST and tmsh vulnerability CVE-2025-59481</w:t>
            </w:r>
          </w:p>
        </w:tc>
        <w:tc>
          <w:tcPr>
            <w:tcW w:type="dxa" w:w="340"/>
          </w:tcPr>
          <w:p>
            <w:r>
              <w:t>15.1.10.8</w:t>
              <w:br/>
              <w:t xml:space="preserve"> 16.1.6.1</w:t>
              <w:br/>
              <w:t xml:space="preserve"> 17.1.3.0</w:t>
              <w:br/>
              <w:t xml:space="preserve"> 17.5.1.3</w:t>
            </w:r>
          </w:p>
        </w:tc>
      </w:tr>
      <w:tr>
        <w:tc>
          <w:tcPr>
            <w:tcW w:type="dxa" w:w="1984"/>
          </w:tcPr>
          <w:p>
            <w:r>
              <w:t>CVE-2025-58096</w:t>
            </w:r>
          </w:p>
        </w:tc>
        <w:tc>
          <w:tcPr>
            <w:tcW w:type="dxa" w:w="850"/>
          </w:tcPr>
          <w:p>
            <w:r>
              <w:t>High</w:t>
            </w:r>
          </w:p>
        </w:tc>
        <w:tc>
          <w:tcPr>
            <w:tcW w:type="dxa" w:w="1134"/>
          </w:tcPr>
          <w:p>
            <w:r>
              <w:t>K000156691</w:t>
            </w:r>
          </w:p>
        </w:tc>
        <w:tc>
          <w:tcPr>
            <w:tcW w:type="dxa" w:w="5102"/>
          </w:tcPr>
          <w:p>
            <w:r>
              <w:t>BIG-IP TMM vulnerability CVE-2025-58096</w:t>
            </w:r>
          </w:p>
        </w:tc>
        <w:tc>
          <w:tcPr>
            <w:tcW w:type="dxa" w:w="340"/>
          </w:tcPr>
          <w:p>
            <w:r>
              <w:t>15.1.10.8</w:t>
              <w:br/>
              <w:t xml:space="preserve"> 16.1.6.1</w:t>
              <w:br/>
              <w:t xml:space="preserve"> 17.1.3.0</w:t>
              <w:br/>
              <w:t xml:space="preserve"> 17.5.1.3</w:t>
            </w:r>
          </w:p>
        </w:tc>
      </w:tr>
      <w:tr>
        <w:tc>
          <w:tcPr>
            <w:tcW w:type="dxa" w:w="1984"/>
          </w:tcPr>
          <w:p>
            <w:r>
              <w:t>CVE-2025-61974</w:t>
            </w:r>
          </w:p>
        </w:tc>
        <w:tc>
          <w:tcPr>
            <w:tcW w:type="dxa" w:w="850"/>
          </w:tcPr>
          <w:p>
            <w:r>
              <w:t>High</w:t>
            </w:r>
          </w:p>
        </w:tc>
        <w:tc>
          <w:tcPr>
            <w:tcW w:type="dxa" w:w="1134"/>
          </w:tcPr>
          <w:p>
            <w:r>
              <w:t>K000156733</w:t>
            </w:r>
          </w:p>
        </w:tc>
        <w:tc>
          <w:tcPr>
            <w:tcW w:type="dxa" w:w="5102"/>
          </w:tcPr>
          <w:p>
            <w:r>
              <w:t>TMM vulnerability CVE-2025-61974</w:t>
            </w:r>
          </w:p>
        </w:tc>
        <w:tc>
          <w:tcPr>
            <w:tcW w:type="dxa" w:w="340"/>
          </w:tcPr>
          <w:p>
            <w:r>
              <w:t>15.1.10.8</w:t>
              <w:br/>
              <w:t xml:space="preserve"> 16.1.6.1</w:t>
              <w:br/>
              <w:t xml:space="preserve"> 17.1.3.0</w:t>
              <w:br/>
              <w:t xml:space="preserve"> 17.5.1.3</w:t>
            </w:r>
          </w:p>
        </w:tc>
      </w:tr>
      <w:tr>
        <w:tc>
          <w:tcPr>
            <w:tcW w:type="dxa" w:w="1984"/>
          </w:tcPr>
          <w:p>
            <w:r>
              <w:t>CVE-2025-59483</w:t>
            </w:r>
          </w:p>
        </w:tc>
        <w:tc>
          <w:tcPr>
            <w:tcW w:type="dxa" w:w="850"/>
          </w:tcPr>
          <w:p>
            <w:r>
              <w:t>High</w:t>
            </w:r>
          </w:p>
        </w:tc>
        <w:tc>
          <w:tcPr>
            <w:tcW w:type="dxa" w:w="1134"/>
          </w:tcPr>
          <w:p>
            <w:r>
              <w:t>K000156800</w:t>
            </w:r>
          </w:p>
        </w:tc>
        <w:tc>
          <w:tcPr>
            <w:tcW w:type="dxa" w:w="5102"/>
          </w:tcPr>
          <w:p>
            <w:r>
              <w:t>BIG-IP Configuration utility vulnerability CVE-2025-59483</w:t>
            </w:r>
          </w:p>
        </w:tc>
        <w:tc>
          <w:tcPr>
            <w:tcW w:type="dxa" w:w="340"/>
          </w:tcPr>
          <w:p>
            <w:r>
              <w:t>15.1.10.8</w:t>
              <w:br/>
              <w:t xml:space="preserve"> 16.1.6.1</w:t>
              <w:br/>
              <w:t xml:space="preserve"> 17.1.3.0</w:t>
              <w:br/>
              <w:t xml:space="preserve"> 17.5.1.3</w:t>
            </w:r>
          </w:p>
        </w:tc>
      </w:tr>
      <w:tr>
        <w:tc>
          <w:tcPr>
            <w:tcW w:type="dxa" w:w="1984"/>
          </w:tcPr>
          <w:p>
            <w:r>
              <w:t>CVE-2025-54755</w:t>
            </w:r>
          </w:p>
        </w:tc>
        <w:tc>
          <w:tcPr>
            <w:tcW w:type="dxa" w:w="850"/>
          </w:tcPr>
          <w:p>
            <w:r>
              <w:t>Medium</w:t>
            </w:r>
          </w:p>
        </w:tc>
        <w:tc>
          <w:tcPr>
            <w:tcW w:type="dxa" w:w="1134"/>
          </w:tcPr>
          <w:p>
            <w:r>
              <w:t>K000156801</w:t>
            </w:r>
          </w:p>
        </w:tc>
        <w:tc>
          <w:tcPr>
            <w:tcW w:type="dxa" w:w="5102"/>
          </w:tcPr>
          <w:p>
            <w:r>
              <w:t>BIG-IP Configuration utility vulnerability CVE-2025-54755</w:t>
            </w:r>
          </w:p>
        </w:tc>
        <w:tc>
          <w:tcPr>
            <w:tcW w:type="dxa" w:w="340"/>
          </w:tcPr>
          <w:p>
            <w:r>
              <w:t>15.1.10.8</w:t>
              <w:br/>
              <w:t xml:space="preserve"> 16.1.6.1</w:t>
              <w:br/>
              <w:t xml:space="preserve"> 17.1.3.0</w:t>
              <w:br/>
              <w:t xml:space="preserve"> 17.5.1.3</w:t>
            </w:r>
          </w:p>
        </w:tc>
      </w:tr>
      <w:tr>
        <w:tc>
          <w:tcPr>
            <w:tcW w:type="dxa" w:w="1984"/>
          </w:tcPr>
          <w:p>
            <w:r>
              <w:t>CVE-2025-59268</w:t>
            </w:r>
          </w:p>
        </w:tc>
        <w:tc>
          <w:tcPr>
            <w:tcW w:type="dxa" w:w="850"/>
          </w:tcPr>
          <w:p>
            <w:r>
              <w:t>Medium</w:t>
            </w:r>
          </w:p>
        </w:tc>
        <w:tc>
          <w:tcPr>
            <w:tcW w:type="dxa" w:w="1134"/>
          </w:tcPr>
          <w:p>
            <w:r>
              <w:t>K90301300</w:t>
            </w:r>
          </w:p>
        </w:tc>
        <w:tc>
          <w:tcPr>
            <w:tcW w:type="dxa" w:w="5102"/>
          </w:tcPr>
          <w:p>
            <w:r>
              <w:t>BIG-IP Configuration utility vulnerability CVE-2025-59268</w:t>
            </w:r>
          </w:p>
        </w:tc>
        <w:tc>
          <w:tcPr>
            <w:tcW w:type="dxa" w:w="340"/>
          </w:tcPr>
          <w:p>
            <w:r>
              <w:t>15.1.10.8</w:t>
              <w:br/>
              <w:t xml:space="preserve"> 16.1.6.1</w:t>
              <w:br/>
              <w:t xml:space="preserve"> 17.1.3.0</w:t>
              <w:br/>
              <w:t xml:space="preserve"> 17.5.1.3</w:t>
            </w:r>
          </w:p>
        </w:tc>
      </w:tr>
    </w:tbl>
    <w:p/>
    <w:p>
      <w:pPr>
        <w:pStyle w:val="Heading3"/>
      </w:pPr>
      <w:r>
        <w:t>Idle-Logout Setting Configuration Check</w:t>
      </w:r>
    </w:p>
    <w:p>
      <w:pPr>
        <w:pStyle w:val="sevHigh"/>
      </w:pPr>
      <w:r>
        <w:t>Severity: High</w:t>
      </w:r>
    </w:p>
    <w:p>
      <w:r>
        <w:t>This diagnostic verifies whether the idle-logout setting is configured on the BIG-IP system. Implementing an idle-logout policy helps reduce the risk of unauthorized access by terminating inactive sessions automatically.</w:t>
      </w:r>
    </w:p>
    <w:p/>
    <w:p>
      <w:r>
        <w:t>--------------------------------------------------------------  Additional details  --------------------------------------------------------------</w:t>
      </w:r>
    </w:p>
    <w:p>
      <w:r>
        <w:t>Consider setting an sshd inactivity timout for the system.</w:t>
        <w:br/>
        <w:br/>
        <w:t xml:space="preserve"> Consider setting automatic logout idle time for serial console sessions system.</w:t>
        <w:br/>
        <w:br/>
        <w:t xml:space="preserve"> Consider setting an idle timout for the cli.</w:t>
      </w:r>
    </w:p>
    <w:p>
      <w:r>
        <w:t>------------------------------------------------------------------------------------------------------------------------------------------------------</w:t>
      </w:r>
    </w:p>
    <w:p/>
    <w:p>
      <w:r>
        <w:t>Please review the solution article for more information: https://my.f5.com/manage/s/article/K9908</w:t>
      </w:r>
    </w:p>
    <w:p/>
    <w:p/>
    <w:p>
      <w:pPr>
        <w:pStyle w:val="Heading3"/>
      </w:pPr>
      <w:r>
        <w:t>BIG-IP evaluation and demonstration licenses may expire</w:t>
      </w:r>
    </w:p>
    <w:p>
      <w:pPr>
        <w:pStyle w:val="sevHigh"/>
      </w:pPr>
      <w:r>
        <w:t>Severity: High</w:t>
      </w:r>
    </w:p>
    <w:p>
      <w:r>
        <w:t>Production BIG-IP system license files do not expire; however, evaluation or demonstration BIG-IP licenses do expire. This applies to add-on module evaluation licenses for all modules. If you convert an evaluation or demonstration BIG-IP system to a production BIG-IP system, you must activate the new BIG-IP production license.</w:t>
      </w:r>
    </w:p>
    <w:p/>
    <w:p>
      <w:r>
        <w:t>--------------------------------------------------------------  Additional details  --------------------------------------------------------------</w:t>
      </w:r>
    </w:p>
    <w:p>
      <w:r>
        <w:t>License expiration date is 01/22/2026.</w:t>
      </w:r>
    </w:p>
    <w:p>
      <w:r>
        <w:t>------------------------------------------------------------------------------------------------------------------------------------------------------</w:t>
      </w:r>
    </w:p>
    <w:p/>
    <w:p>
      <w:r>
        <w:t>Please review the solution article for more information: https://my.f5.com/manage/s/article/K4679</w:t>
      </w:r>
    </w:p>
    <w:p/>
    <w:p/>
    <w:p>
      <w:pPr>
        <w:pStyle w:val="Heading3"/>
      </w:pPr>
      <w:r>
        <w:t>iRule 'failure' and 'abort' statistics</w:t>
      </w:r>
    </w:p>
    <w:p>
      <w:pPr>
        <w:pStyle w:val="sevHigh"/>
      </w:pPr>
      <w:r>
        <w:t>Severity: High</w:t>
      </w:r>
    </w:p>
    <w:p>
      <w:r>
        <w:t>Each of the following iRules report 'failure' and 'abort' statistics calculated from the mcp_module.xml data. Failures are typically the result of runtime errors and may be indicative of an issue, such as unexpected variable input, and may cause other issues.</w:t>
      </w:r>
    </w:p>
    <w:p/>
    <w:p>
      <w:r>
        <w:t>--------------------------------------------------------------  Additional details  --------------------------------------------------------------</w:t>
      </w:r>
    </w:p>
    <w:p>
      <w:r>
        <w:t>The iRule named /Common/Shared/telemetry_local_rule reports a 100% failure rate for the &amp;lt;CLIENT_ACCEPTED&amp;gt; event. (total failures: 329, total executions: 329)</w:t>
      </w:r>
    </w:p>
    <w:p>
      <w:r>
        <w:t>------------------------------------------------------------------------------------------------------------------------------------------------------</w:t>
      </w:r>
    </w:p>
    <w:p/>
    <w:p/>
    <w:p>
      <w:pPr>
        <w:pStyle w:val="Heading3"/>
      </w:pPr>
      <w:r>
        <w:t>BIG-IP Cookie Persistence Encryption not enabled</w:t>
      </w:r>
    </w:p>
    <w:p>
      <w:pPr>
        <w:pStyle w:val="sevMedium"/>
      </w:pPr>
      <w:r>
        <w:t>Severity: Medium</w:t>
      </w:r>
    </w:p>
    <w:p>
      <w:r>
        <w:t>This system uses cookie persistence profile without encryption. We recommend enabling encryption for improved security.</w:t>
      </w:r>
    </w:p>
    <w:p/>
    <w:p>
      <w:r>
        <w:t>--------------------------------------------------------------  Additional details  --------------------------------------------------------------</w:t>
      </w:r>
    </w:p>
    <w:p>
      <w:r>
        <w:t>Persistence profile '/Common/cookie' is using unencrypted cookies and is being used by the following virtual servers:</w:t>
        <w:br/>
        <w:br/>
        <w:t xml:space="preserve"> '/k8s-1/Shared/crd_10_1_10_56_80'</w:t>
        <w:br/>
        <w:br/>
        <w:t xml:space="preserve"> '/k8s-1/Shared/crd_10_1_10_55_80'</w:t>
        <w:br/>
        <w:br/>
        <w:t xml:space="preserve"> '/k8s-1/Shared/vs-test2_80'</w:t>
        <w:br/>
        <w:br/>
        <w:t xml:space="preserve"> '/k8s-1/Shared/reencrypt-tls-vs_443'</w:t>
        <w:br/>
        <w:br/>
        <w:t xml:space="preserve"> '/k8s-1/Shared/vs-test1_80'</w:t>
        <w:br/>
        <w:br/>
        <w:t xml:space="preserve"> '/k8s-1/Shared/vs-test3_80'</w:t>
        <w:br/>
        <w:br/>
        <w:t xml:space="preserve"> '/k8s-1/Shared/xff-policy-vs_80'</w:t>
        <w:br/>
        <w:br/>
        <w:t xml:space="preserve"> '/k8s-1/Shared/vs-test4_80'</w:t>
        <w:br/>
        <w:br/>
        <w:t xml:space="preserve"> '/k8s-1/Shared/readiness-vs_80'</w:t>
      </w:r>
    </w:p>
    <w:p>
      <w:r>
        <w:t>------------------------------------------------------------------------------------------------------------------------------------------------------</w:t>
      </w:r>
    </w:p>
    <w:p/>
    <w:p>
      <w:r>
        <w:t>Please review the solution article for more information: https://my.f5.com/manage/s/article/K14784</w:t>
      </w:r>
    </w:p>
    <w:p/>
    <w:p/>
    <w:p>
      <w:pPr>
        <w:pStyle w:val="Heading3"/>
      </w:pPr>
      <w:r>
        <w:t>BIG-IP objects may not send gratuitous ARP requests during failover</w:t>
      </w:r>
    </w:p>
    <w:p>
      <w:pPr>
        <w:pStyle w:val="sevMedium"/>
      </w:pPr>
      <w:r>
        <w:t>Severity: Medium</w:t>
      </w:r>
    </w:p>
    <w:p>
      <w:r>
        <w:t>A BIG-IP object may not send gratuitous ARP requests during failover when it is configured on a different subnet than the self IP address, or is associated with a VLAN that has no self IP addresses configured.</w:t>
      </w:r>
    </w:p>
    <w:p/>
    <w:p>
      <w:r>
        <w:t>--------------------------------------------------------------  Additional details  --------------------------------------------------------------</w:t>
      </w:r>
    </w:p>
    <w:p>
      <w:r>
        <w:t>Virtual addresses that are reached by means of a routing to GARP-enabled floating self IPs do not need to issue those GARP requests themselves.</w:t>
        <w:br/>
        <w:br/>
        <w:t xml:space="preserve"> One or more BIG-IP objects were discovered that may not send gratuitous ARP requests during failover:</w:t>
        <w:br/>
        <w:br/>
        <w:t xml:space="preserve"> The following virtual server is affected by this issue:</w:t>
        <w:br/>
        <w:br/>
        <w:t xml:space="preserve">     '/Common/Shared/telemetry_local' uses address '255.255.255.254'.</w:t>
      </w:r>
    </w:p>
    <w:p>
      <w:r>
        <w:t>------------------------------------------------------------------------------------------------------------------------------------------------------</w:t>
      </w:r>
    </w:p>
    <w:p/>
    <w:p>
      <w:r>
        <w:t>Please review the solution article for more information: https://my.f5.com/manage/s/article/K11880</w:t>
      </w:r>
    </w:p>
    <w:p/>
    <w:p/>
    <w:p>
      <w:pPr>
        <w:pStyle w:val="Heading3"/>
      </w:pPr>
      <w:r>
        <w:t>A password policy is not configured or can be strengthened.</w:t>
      </w:r>
    </w:p>
    <w:p>
      <w:pPr>
        <w:pStyle w:val="sevMedium"/>
      </w:pPr>
      <w:r>
        <w:t>Severity: Medium</w:t>
      </w:r>
    </w:p>
    <w:p>
      <w:r>
        <w:t>F5 recommends that you configure a secure password policy for the BIG-IP system.</w:t>
      </w:r>
    </w:p>
    <w:p/>
    <w:p>
      <w:r>
        <w:t>--------------------------------------------------------------  Additional details  --------------------------------------------------------------</w:t>
      </w:r>
    </w:p>
    <w:p>
      <w:r>
        <w:t>The following password policy settings are configured to the default value: 'password-memory', 'required-numeric', 'max-login-failures', 'max-duration', 'min-duration', 'required-lowercase', 'minimum-length', 'required-special', and 'required-uppercase'</w:t>
      </w:r>
    </w:p>
    <w:p>
      <w:r>
        <w:t>------------------------------------------------------------------------------------------------------------------------------------------------------</w:t>
      </w:r>
    </w:p>
    <w:p/>
    <w:p>
      <w:r>
        <w:t>Please review the solution article for more information: https://my.f5.com/manage/s/article/K15497 and https://my.f5.com/manage/s/article/K5962</w:t>
      </w:r>
    </w:p>
    <w:p/>
    <w:p/>
    <w:p>
      <w:pPr>
        <w:pStyle w:val="Heading3"/>
      </w:pPr>
      <w:r>
        <w:t>Log messages report TCL runtime errors</w:t>
      </w:r>
    </w:p>
    <w:p>
      <w:pPr>
        <w:pStyle w:val="sevMedium"/>
      </w:pPr>
      <w:r>
        <w:t>Severity: Medium</w:t>
      </w:r>
    </w:p>
    <w:p>
      <w:r>
        <w:t>Log messages report TCL runtime errors. A TCL runtime error aborts the affected instance of the iRule and causes the associated connection to be reset.</w:t>
      </w:r>
    </w:p>
    <w:p/>
    <w:p>
      <w:r>
        <w:t>--------------------------------------------------------------  Additional details  --------------------------------------------------------------</w:t>
      </w:r>
    </w:p>
    <w:p>
      <w:r>
        <w:t>TCL errors were found for the following iRule:</w:t>
        <w:br/>
        <w:br/>
        <w:t xml:space="preserve"> </w:t>
        <w:br/>
        <w:t xml:space="preserve">      At least one TCL error found for /Common/Shared/telemetry_local_rule, which is assigned to virtual server: /Common/Shared/telemetry_local</w:t>
        <w:br/>
        <w:br/>
        <w:t xml:space="preserve">    </w:t>
      </w:r>
    </w:p>
    <w:p>
      <w:r>
        <w:t>------------------------------------------------------------------------------------------------------------------------------------------------------</w:t>
      </w:r>
    </w:p>
    <w:p/>
    <w:p>
      <w:r>
        <w:t>Please review the solution article for more information: https://my.f5.com/manage/s/article/K13905</w:t>
      </w:r>
    </w:p>
    <w:p/>
    <w:p/>
    <w:p>
      <w:pPr>
        <w:pStyle w:val="Heading3"/>
      </w:pPr>
      <w:r>
        <w:t>Required IP addresses for ConfigSync and device service clustering</w:t>
      </w:r>
    </w:p>
    <w:p>
      <w:pPr>
        <w:pStyle w:val="sevMedium"/>
      </w:pPr>
      <w:r>
        <w:t>Severity: Medium</w:t>
      </w:r>
    </w:p>
    <w:p>
      <w:r>
        <w:t>For configuration synchronization (ConfigSync) and device service clustering (DSC) to function properly, you must have the ConfigSync IP and failover IPs properly configured. Self IP addresses for ConfigSync and failover must be defined and routable between device group members. To ensure the most stable network failover configuration for redundant systems, choose two channels for network failover communication. F5 considers it best practice to define two unicast addresses or a unicast and a multicast failover address for each device in the device group.</w:t>
      </w:r>
    </w:p>
    <w:p/>
    <w:p>
      <w:r>
        <w:t>--------------------------------------------------------------  Additional details  --------------------------------------------------------------</w:t>
      </w:r>
    </w:p>
    <w:p>
      <w:r>
        <w:t>Self IP addresses for ConfigSync and failover must be defined and routable between device group members. It is recommended using the managment IP address for failover.</w:t>
      </w:r>
    </w:p>
    <w:p>
      <w:r>
        <w:t>------------------------------------------------------------------------------------------------------------------------------------------------------</w:t>
      </w:r>
    </w:p>
    <w:p/>
    <w:p>
      <w:r>
        <w:t>Please review the solution article for more information: https://my.f5.com/manage/s/article/K13946</w:t>
      </w:r>
    </w:p>
    <w:p/>
    <w:p/>
    <w:p>
      <w:pPr>
        <w:pStyle w:val="Heading3"/>
      </w:pPr>
      <w:r>
        <w:t>SSL certificates are expired, about to expire, or are not yet valid</w:t>
      </w:r>
    </w:p>
    <w:p>
      <w:pPr>
        <w:pStyle w:val="sevMedium"/>
      </w:pPr>
      <w:r>
        <w:t>Severity: Medium</w:t>
      </w:r>
    </w:p>
    <w:p>
      <w:r>
        <w:t>SSL certificates have specific date ranges that identify when they are valid. The following output lists expired, nearly expired, and not yet valid certificates, grouped by their status and whether they are in use by a BIG-IP traffic object. Please note that in qkview files generated on BIG-IP 11.x systems, this diagnostic does not calculate whether SSL certificates are not yet valid.</w:t>
      </w:r>
    </w:p>
    <w:p/>
    <w:p>
      <w:r>
        <w:t>--------------------------------------------------------------  Additional details  --------------------------------------------------------------</w:t>
      </w:r>
    </w:p>
    <w:p>
      <w:r>
        <w:t>Here is a summary of certificates grouped by status and usage:</w:t>
        <w:br/>
        <w:br/>
        <w:t xml:space="preserve"> Expired SSL certificates associated with one or more profiles, but not in use by any virtual servers:</w:t>
        <w:br/>
        <w:br/>
        <w:t xml:space="preserve">   SSL certificate '/Common/app1' has the expiration date Mar  4 06:24:32 2023 GMT</w:t>
        <w:br/>
        <w:br/>
        <w:t xml:space="preserve">     Profile using this certificate: /Common/tls1</w:t>
        <w:br/>
        <w:br/>
        <w:t xml:space="preserve">   SSL certificate '/Common/app2' has the expiration date Mar  4 07:01:04 2023 GMT</w:t>
        <w:br/>
        <w:br/>
        <w:t xml:space="preserve">     Profile using this certificate: /Common/tls2</w:t>
        <w:br/>
        <w:br/>
        <w:t xml:space="preserve"> Expired SSL certificate not in use by any profiles or virtual servers:</w:t>
        <w:br/>
        <w:br/>
        <w:t xml:space="preserve">   SSL certificate '/config/ssl/ssl.crt/ca-bundle.crt' has the expiration date Sun Aug 24 08:05:46 2025</w:t>
        <w:br/>
        <w:br/>
        <w:t xml:space="preserve">   The actual cert name from the bundle (matched by the expiration date) is '/Common/ca-bundle.crt.11' </w:t>
        <w:br/>
        <w:br/>
        <w:t xml:space="preserve"> Refer to an AskF5 publication 'SSL Administration/Device Certificate Management'</w:t>
      </w:r>
    </w:p>
    <w:p>
      <w:r>
        <w:t>------------------------------------------------------------------------------------------------------------------------------------------------------</w:t>
      </w:r>
    </w:p>
    <w:p/>
    <w:p>
      <w:r>
        <w:t>Please review the solution article for more information: https://my.f5.com/manage/s/article/K8187 and https://my.f5.com/manage/s/article/K15664</w:t>
      </w:r>
    </w:p>
    <w:p/>
    <w:p/>
    <w:p>
      <w:pPr>
        <w:pStyle w:val="Heading3"/>
      </w:pPr>
      <w:r>
        <w:t>There are not enough NTP servers either configured or reliably reachable, or the NTP daemon is not running</w:t>
      </w:r>
    </w:p>
    <w:p>
      <w:pPr>
        <w:pStyle w:val="sevMedium"/>
      </w:pPr>
      <w:r>
        <w:t>Severity: Medium</w:t>
      </w:r>
    </w:p>
    <w:p>
      <w:r>
        <w:t>F5 recommends that you configure at least three external NTP servers. If fewer than three Network Time Protocol (NTP) servers are reachable, the system will not be able to reliably detect incorrect time sources.</w:t>
      </w:r>
    </w:p>
    <w:p/>
    <w:p>
      <w:r>
        <w:t>--------------------------------------------------------------  Additional details  --------------------------------------------------------------</w:t>
      </w:r>
    </w:p>
    <w:p>
      <w:r>
        <w:t>The BIG-IP system is not configured to use any Network Time Protocol servers.</w:t>
      </w:r>
    </w:p>
    <w:p>
      <w:r>
        <w:t>------------------------------------------------------------------------------------------------------------------------------------------------------</w:t>
      </w:r>
    </w:p>
    <w:p/>
    <w:p>
      <w:r>
        <w:t>Please review the solution article for more information: https://my.f5.com/manage/s/article/K3122 and https://my.f5.com/manage/s/article/K10240</w:t>
      </w:r>
    </w:p>
    <w:p/>
    <w:p/>
    <w:p>
      <w:pPr>
        <w:pStyle w:val="Heading3"/>
      </w:pPr>
      <w:r>
        <w:t>F5 recommends removing orphaned configuration objects</w:t>
      </w:r>
    </w:p>
    <w:p>
      <w:pPr>
        <w:pStyle w:val="sevMedium"/>
      </w:pPr>
      <w:r>
        <w:t>Severity: Medium</w:t>
      </w:r>
    </w:p>
    <w:p>
      <w:r>
        <w:t>Over the course of a system's operation, various configuration objects may become orphaned as they are created and then abandoned to accommodate changing business or application needs. While orphaned configuration objects do not initially cause problems, if allowed to accumulate, you can eventually encounter some of the following issues : performance degradation, increased memory and CPU utilization, and hindered administration from unnecessarily large configurations that can result in configuration conflicts such as IP address or object name conflicts.</w:t>
      </w:r>
    </w:p>
    <w:p/>
    <w:p>
      <w:r>
        <w:t>--------------------------------------------------------------  Additional details  --------------------------------------------------------------</w:t>
      </w:r>
    </w:p>
    <w:p>
      <w:r>
        <w:t>Unused irules: /Common/sorry-page, /Common/same-origin, /Common/X-XSS-Protection, /Common/test-rewrite, /Common/grafana, /Common/prometheus, /Common/API_Cookie-Domain-Rewrite.</w:t>
        <w:br/>
        <w:br/>
        <w:t xml:space="preserve"> Please confirm that unused objects are not being indirectly linked to other configuration objects via iRules/scripts before deleting them from the system.</w:t>
        <w:br/>
        <w:br/>
        <w:t xml:space="preserve"> Please confirm that unused objects are not being indirectly linked to other configuration objects via data groups before deleting them from the system.</w:t>
        <w:br/>
        <w:br/>
        <w:t xml:space="preserve"> Unused nodes: /Common/10.244.140.71, /gitlab/10.1.20.4, /Common/10.244.196.149, /Common/10.244.140.113, /Common/10.244.196.148, /Common/10.244.140.92, /gitlab/10.1.1.11, /Common/10.244.140.124.</w:t>
        <w:br/>
        <w:br/>
        <w:t xml:space="preserve"> Unused monitors: /Common/standard_bd_monitor_mobileapac, /Common/standard_bd_monitor_apac, /Common/standard_ap_ai_csd_ati_monitor_us, /Common/standard_ap_ai_csd_ati_monitor_asia_se2, /Common/standard_ap_ai_csd_ati_monitor_eu, /Common/standard_bd_monitor_mobileus, /Common/standard_bd_monitor_mobilelatm, /Common/standard_ap_ai_csd_ati_monitor_asia_ne1, /Common/standard_ap_ai_csd_ati_monitor_aus, /Common/standard_bd_monitor_mobileemea, /Common/standard_ap_ai_csd_ati_monitor_ca, /Common/standard_bd_monitor_us, /Common/http2_head_f5, /Common/standard_bd_monitor_emea.</w:t>
      </w:r>
    </w:p>
    <w:p>
      <w:r>
        <w:t>------------------------------------------------------------------------------------------------------------------------------------------------------</w:t>
      </w:r>
    </w:p>
    <w:p/>
    <w:p>
      <w:r>
        <w:t>Please review the solution article for more information: https://my.f5.com/manage/s/article/K15335</w:t>
      </w:r>
    </w:p>
    <w:p/>
    <w:p/>
    <w:p>
      <w:pPr>
        <w:pStyle w:val="Heading3"/>
      </w:pPr>
      <w:r>
        <w:t>F5 recommends removing orphaned configuration objects</w:t>
      </w:r>
    </w:p>
    <w:p>
      <w:pPr>
        <w:pStyle w:val="sevMedium"/>
      </w:pPr>
      <w:r>
        <w:t>Severity: Medium</w:t>
      </w:r>
    </w:p>
    <w:p>
      <w:r>
        <w:t>Over the course of a system's operation, various configuration objects may become orphaned as they are created and then abandoned to accommodate changing business or application needs. While orphaned configuration objects do not initially cause problems, if allowed to accumulate, you can eventually encounter some of the following issues : performance degradation, increased memory and CPU utilization, and hindered administration from unnecessarily large configurations that can result in configuration conflicts such as IP address or object name conflicts.</w:t>
      </w:r>
    </w:p>
    <w:p/>
    <w:p>
      <w:r>
        <w:t>--------------------------------------------------------------  Additional details  --------------------------------------------------------------</w:t>
      </w:r>
    </w:p>
    <w:p>
      <w:r>
        <w:t>The following SSL certificates are not currently in use by a virtual server: '/Common/ca-bundle.crt', '/Common/f5-irule.crt', '/Common/app1', '/Common/app2', and '/Common/f5-ca-bundle.crt'</w:t>
        <w:br/>
        <w:br/>
        <w:t xml:space="preserve"> The certificates below are attached to profiles, but the profiles themselves are not used by any virtual servers. It is up to the administrator to utilize or delete those profiles. It is not advisable to delete default certificates and profiles, and profiles that are referenced by iRules. Carefully review the configuration before removing any objects.</w:t>
        <w:br/>
        <w:br/>
        <w:t xml:space="preserve"> </w:t>
        <w:br/>
        <w:t xml:space="preserve">      Certificate /Common/app1 is used by profile /Common/tls1</w:t>
        <w:br/>
        <w:t>Certificate /Common/app2 is used by profile /Common/tls2</w:t>
        <w:br/>
        <w:t>Certificate /Common/default.crt is used by profiles /Common/clientssl-quic, /Common/splitsession-default-clientssl, /Common/clientssl-secure, /Common/crypto-server-default-clientssl, /Common/wom-default-clientssl, /Common/clientssl-insecure-compatible, /Common/wom-default-serverssl, /Common/splitsession-default-serverssl</w:t>
        <w:br/>
        <w:br/>
        <w:t xml:space="preserve">    </w:t>
      </w:r>
    </w:p>
    <w:p>
      <w:r>
        <w:t>------------------------------------------------------------------------------------------------------------------------------------------------------</w:t>
      </w:r>
    </w:p>
    <w:p/>
    <w:p>
      <w:r>
        <w:t>Please review the solution article for more information: https://my.f5.com/manage/s/article/K15335 and https://my.f5.com/manage/s/article/K14620</w:t>
      </w:r>
    </w:p>
    <w:p/>
    <w:p/>
    <w:p>
      <w:pPr>
        <w:pStyle w:val="Heading3"/>
      </w:pPr>
      <w:r>
        <w:t>Cookie or universal persistence may fail for subsequent requests on Keep-Alive HTTP connections</w:t>
      </w:r>
    </w:p>
    <w:p>
      <w:pPr>
        <w:pStyle w:val="sevMedium"/>
      </w:pPr>
      <w:r>
        <w:t>Severity: Medium</w:t>
      </w:r>
    </w:p>
    <w:p>
      <w:r>
        <w:t>The BIG-IP system may appear to ignore persistence information for subsequent requests on a Keep-Alive HTTP connection when cookie or universal persistence is used.</w:t>
      </w:r>
    </w:p>
    <w:p/>
    <w:p>
      <w:r>
        <w:t>--------------------------------------------------------------  Additional details  --------------------------------------------------------------</w:t>
      </w:r>
    </w:p>
    <w:p>
      <w:r>
        <w:t>These virtual servers have HTTP profiles and use cookie or universal persistence:</w:t>
        <w:br/>
        <w:br/>
        <w:t xml:space="preserve"> /k8s-1/Shared/vs-test4_80</w:t>
        <w:br/>
        <w:br/>
        <w:t xml:space="preserve"> /k8s-1/Shared/crd_10_1_10_56_80</w:t>
        <w:br/>
        <w:br/>
        <w:t xml:space="preserve"> /k8s-1/Shared/vs-test1_80</w:t>
        <w:br/>
        <w:br/>
        <w:t xml:space="preserve"> /k8s-1/Shared/vs-test3_80</w:t>
        <w:br/>
        <w:br/>
        <w:t xml:space="preserve"> /k8s-1/Shared/reencrypt-tls-vs_443</w:t>
        <w:br/>
        <w:br/>
        <w:t xml:space="preserve"> /k8s-1/Shared/xff-policy-vs_80</w:t>
        <w:br/>
        <w:br/>
        <w:t xml:space="preserve"> /k8s-1/Shared/vs-test2_80</w:t>
        <w:br/>
        <w:br/>
        <w:t xml:space="preserve"> /k8s-1/Shared/crd_10_1_10_55_80</w:t>
        <w:br/>
        <w:br/>
        <w:t xml:space="preserve"> /k8s-1/Shared/readiness-vs_80</w:t>
      </w:r>
    </w:p>
    <w:p>
      <w:r>
        <w:t>------------------------------------------------------------------------------------------------------------------------------------------------------</w:t>
      </w:r>
    </w:p>
    <w:p/>
    <w:p>
      <w:r>
        <w:t>Please review the solution article for more information: https://my.f5.com/manage/s/article/K7964</w:t>
      </w:r>
    </w:p>
    <w:p/>
    <w:p/>
    <w:p>
      <w:pPr>
        <w:pStyle w:val="Heading3"/>
      </w:pPr>
      <w:r>
        <w:t>Avoid logging all requests for BIG-IP ASM virtual servers that run on VE platforms</w:t>
      </w:r>
    </w:p>
    <w:p>
      <w:pPr>
        <w:pStyle w:val="sevLow"/>
      </w:pPr>
      <w:r>
        <w:t>Severity: Low</w:t>
      </w:r>
    </w:p>
    <w:p>
      <w:r>
        <w:t>When you select a logging profile for BIG-IP ASM virtual servers that run on BIG-IP VE platforms, you should avoid using a logging profile that logs all requests if the virtual server processes a high volume of traffic. If you use a logging profile that logs all requests, the system may experience performance issues while attempting to keep up with the logging demands.</w:t>
      </w:r>
    </w:p>
    <w:p/>
    <w:p>
      <w:r>
        <w:t>--------------------------------------------------------------  Additional details  --------------------------------------------------------------</w:t>
      </w:r>
    </w:p>
    <w:p>
      <w:r>
        <w:t>The following virtual server is logging all requests:</w:t>
        <w:br/>
        <w:br/>
        <w:t xml:space="preserve"> </w:t>
        <w:br/>
        <w:t xml:space="preserve">      /k8s-1/Shared/vs-test1_80 using logging profile /Common/Log all requests</w:t>
        <w:br/>
        <w:br/>
        <w:t xml:space="preserve">    </w:t>
      </w:r>
    </w:p>
    <w:p>
      <w:r>
        <w:t>------------------------------------------------------------------------------------------------------------------------------------------------------</w:t>
      </w:r>
    </w:p>
    <w:p/>
    <w:p>
      <w:r>
        <w:t>Please review the solution article for more information: https://my.f5.com/manage/s/article/K42992723</w:t>
      </w:r>
    </w:p>
    <w:p/>
    <w:p/>
    <w:p>
      <w:pPr>
        <w:pStyle w:val="Heading3"/>
      </w:pPr>
      <w:r>
        <w:t>The management interface is allowing access from public IP addresses</w:t>
      </w:r>
    </w:p>
    <w:p>
      <w:pPr>
        <w:pStyle w:val="sevLow"/>
      </w:pPr>
      <w:r>
        <w:t>Severity: Low</w:t>
      </w:r>
    </w:p>
    <w:p>
      <w:r>
        <w:t>The management interface is ether configured to use a public IP address or is allowing public address to access the Configuration Utility.</w:t>
      </w:r>
    </w:p>
    <w:p/>
    <w:p>
      <w:r>
        <w:t>--------------------------------------------------------------  Additional details  --------------------------------------------------------------</w:t>
      </w:r>
    </w:p>
    <w:p>
      <w:r>
        <w:t>All IP addresses are allowed to access the Configuration Utility.</w:t>
      </w:r>
    </w:p>
    <w:p>
      <w:r>
        <w:t>------------------------------------------------------------------------------------------------------------------------------------------------------</w:t>
      </w:r>
    </w:p>
    <w:p/>
    <w:p>
      <w:r>
        <w:t>Please review the solution article for more information: https://my.f5.com/manage/s/article/K7312 and https://my.f5.com/manage/s/article/K13309</w:t>
      </w:r>
    </w:p>
    <w:p/>
    <w:p/>
    <w:p>
      <w:pPr>
        <w:pStyle w:val="Heading3"/>
      </w:pPr>
      <w:r>
        <w:t>The configuration contains a SNAT automap, but no floating self IP addresses</w:t>
      </w:r>
    </w:p>
    <w:p>
      <w:pPr>
        <w:pStyle w:val="sevLow"/>
      </w:pPr>
      <w:r>
        <w:t>Severity: Low</w:t>
      </w:r>
    </w:p>
    <w:p>
      <w:r>
        <w:t>When SNAT automap is configured on a redundant BIG-IP system, but a floating self IP address is not defined on each egress VLAN, load-balanced traffic may use an unintended SNAT address. A floating self IP address is also required for connection mirroring between members of a redundant system. A SNAT automap using a floating self IP address on the pool member VLAN has the added benefit of separating monitor traffic from load-balanced traffic, which eases troubleshooting and helps avoid port re-use collisions.</w:t>
      </w:r>
    </w:p>
    <w:p/>
    <w:p>
      <w:r>
        <w:t>--------------------------------------------------------------  Additional details  --------------------------------------------------------------</w:t>
      </w:r>
    </w:p>
    <w:p>
      <w:r>
        <w:t>The following vlan does not have floating self-IP addresses:</w:t>
        <w:br/>
        <w:br/>
        <w:t xml:space="preserve"> </w:t>
        <w:br/>
        <w:t xml:space="preserve">      /Common/External</w:t>
        <w:br/>
        <w:br/>
        <w:t xml:space="preserve">    </w:t>
      </w:r>
    </w:p>
    <w:p>
      <w:r>
        <w:t>------------------------------------------------------------------------------------------------------------------------------------------------------</w:t>
      </w:r>
    </w:p>
    <w:p/>
    <w:p>
      <w:r>
        <w:t>Please review the solution article for more information: https://my.f5.com/manage/s/article/K7336</w:t>
      </w:r>
    </w:p>
    <w:p/>
    <w:p/>
    <w:p>
      <w:pPr>
        <w:pStyle w:val="Heading3"/>
      </w:pPr>
      <w:r>
        <w:t>Multiple definitions of static variables in iRules.</w:t>
      </w:r>
    </w:p>
    <w:p>
      <w:pPr>
        <w:pStyle w:val="sevLow"/>
      </w:pPr>
      <w:r>
        <w:t>Severity: Low</w:t>
      </w:r>
    </w:p>
    <w:p>
      <w:r>
        <w:t>Multiple definitions of static variables in iRules may cause unintended behavior.</w:t>
      </w:r>
    </w:p>
    <w:p/>
    <w:p>
      <w:r>
        <w:t>--------------------------------------------------------------  Additional details  --------------------------------------------------------------</w:t>
      </w:r>
    </w:p>
    <w:p>
      <w:r>
        <w:t>The following static variable has been defined multiple times:</w:t>
        <w:br/>
        <w:br/>
        <w:t xml:space="preserve"> 'http_status_503' duplicated in iRules /k8s-1/Shared/reencrypt-tls-vs_443_tls_irule, /k8s-1/Shared/reencrypt-tls-vs_443_tls_irule</w:t>
        <w:br/>
        <w:br/>
        <w:t xml:space="preserve"> You can read more about the static namespace here: t5/technical-articles/getting-started-with-irules-variables/ta-p/290428</w:t>
      </w:r>
    </w:p>
    <w:p>
      <w:r>
        <w:t>------------------------------------------------------------------------------------------------------------------------------------------------------</w:t>
      </w:r>
    </w:p>
    <w:p/>
    <w:sectPr w:rsidR="00B809CA" w:rsidRPr="006C7003" w:rsidSect="00851FB0">
      <w:headerReference w:type="default" r:id="rId8"/>
      <w:footerReference w:type="default" r:id="rId9"/>
      <w:pgSz w:w="12240" w:h="15840"/>
      <w:pgMar w:top="1440" w:right="1041" w:bottom="1440" w:left="1134"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DA98" w14:textId="77777777" w:rsidR="00292485" w:rsidRDefault="00292485" w:rsidP="00315BBC">
      <w:pPr>
        <w:spacing w:line="240" w:lineRule="auto"/>
      </w:pPr>
      <w:r>
        <w:separator/>
      </w:r>
    </w:p>
  </w:endnote>
  <w:endnote w:type="continuationSeparator" w:id="0">
    <w:p w14:paraId="1674868A" w14:textId="77777777" w:rsidR="00292485" w:rsidRDefault="00292485" w:rsidP="00315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5" w:type="dxa"/>
      <w:tblInd w:w="-5" w:type="dxa"/>
      <w:tblLayout w:type="fixed"/>
      <w:tblLook w:val="0000" w:firstRow="0" w:lastRow="0" w:firstColumn="0" w:lastColumn="0" w:noHBand="0" w:noVBand="0"/>
    </w:tblPr>
    <w:tblGrid>
      <w:gridCol w:w="3150"/>
      <w:gridCol w:w="3659"/>
      <w:gridCol w:w="3686"/>
    </w:tblGrid>
    <w:tr w:rsidR="00315BBC" w:rsidRPr="00315BBC" w14:paraId="302F2CE1" w14:textId="09EC3A72" w:rsidTr="00315BBC">
      <w:trPr>
        <w:trHeight w:val="340"/>
      </w:trPr>
      <w:tc>
        <w:tcPr>
          <w:tcW w:w="3150" w:type="dxa"/>
        </w:tcPr>
        <w:p w14:paraId="712222BF" w14:textId="77777777" w:rsidR="00315BBC" w:rsidRPr="00B3720A" w:rsidRDefault="00315BBC" w:rsidP="00315BBC">
          <w:pPr>
            <w:pStyle w:val="Footer"/>
          </w:pPr>
          <w:bookmarkStart w:id="0" w:name="Proj_name_cont" w:colFirst="0" w:colLast="0"/>
          <w:r w:rsidRPr="00B3720A">
            <w:t>F5 Networks</w:t>
          </w:r>
        </w:p>
      </w:tc>
      <w:tc>
        <w:tcPr>
          <w:tcW w:w="3659" w:type="dxa"/>
        </w:tcPr>
        <w:p w14:paraId="459BE6C8" w14:textId="77777777" w:rsidR="00315BBC" w:rsidRPr="00B3720A" w:rsidRDefault="00315BBC" w:rsidP="00315BBC">
          <w:pPr>
            <w:pStyle w:val="Footer"/>
            <w:jc w:val="center"/>
          </w:pPr>
          <w:r w:rsidRPr="00B3720A">
            <w:t>Confidential</w:t>
          </w:r>
        </w:p>
      </w:tc>
      <w:tc>
        <w:tcPr>
          <w:tcW w:w="3686" w:type="dxa"/>
        </w:tcPr>
        <w:p w14:paraId="08F167FE" w14:textId="77777777" w:rsidR="00315BBC" w:rsidRPr="00315BBC" w:rsidRDefault="00315BBC" w:rsidP="00315BBC">
          <w:pPr>
            <w:pStyle w:val="Footer"/>
            <w:tabs>
              <w:tab w:val="clear" w:pos="4680"/>
            </w:tabs>
            <w:jc w:val="right"/>
            <w:rPr>
              <w:rFonts w:cstheme="minorHAnsi"/>
            </w:rPr>
          </w:pPr>
          <w:r w:rsidRPr="00315BBC">
            <w:rPr>
              <w:rFonts w:cstheme="minorHAnsi"/>
            </w:rPr>
            <w:t xml:space="preserve">Page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PAGE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r w:rsidRPr="00315BBC">
            <w:rPr>
              <w:rStyle w:val="PageNumber"/>
              <w:rFonts w:asciiTheme="minorHAnsi" w:hAnsiTheme="minorHAnsi" w:cstheme="minorHAnsi"/>
            </w:rPr>
            <w:t xml:space="preserve"> of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NUMPAGES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p>
      </w:tc>
    </w:tr>
    <w:tr w:rsidR="00315BBC" w14:paraId="04F3B13A" w14:textId="77777777" w:rsidTr="00315BBC">
      <w:trPr>
        <w:trHeight w:val="340"/>
      </w:trPr>
      <w:tc>
        <w:tcPr>
          <w:tcW w:w="3150" w:type="dxa"/>
        </w:tcPr>
        <w:p w14:paraId="1CD970A8" w14:textId="77777777" w:rsidR="00315BBC" w:rsidRDefault="00315BBC" w:rsidP="00315BBC">
          <w:pPr>
            <w:pStyle w:val="Footer"/>
          </w:pPr>
          <w:bookmarkStart w:id="1" w:name="FooterVersion" w:colFirst="1" w:colLast="1"/>
          <w:bookmarkStart w:id="2" w:name="FooterTitle" w:colFirst="0" w:colLast="0"/>
          <w:bookmarkEnd w:id="0"/>
          <w:r>
            <w:t xml:space="preserve"> </w:t>
          </w:r>
        </w:p>
      </w:tc>
      <w:tc>
        <w:tcPr>
          <w:tcW w:w="3659" w:type="dxa"/>
        </w:tcPr>
        <w:p w14:paraId="5CC3AA5B" w14:textId="77777777" w:rsidR="00315BBC" w:rsidRDefault="00315BBC" w:rsidP="00315BBC">
          <w:pPr>
            <w:pStyle w:val="Footer"/>
          </w:pPr>
        </w:p>
      </w:tc>
      <w:tc>
        <w:tcPr>
          <w:tcW w:w="3686" w:type="dxa"/>
        </w:tcPr>
        <w:p w14:paraId="596B5048" w14:textId="77777777" w:rsidR="00315BBC" w:rsidRDefault="00315BBC" w:rsidP="00315BBC">
          <w:pPr>
            <w:pStyle w:val="Footer"/>
          </w:pPr>
        </w:p>
      </w:tc>
    </w:tr>
    <w:bookmarkEnd w:id="1"/>
    <w:bookmarkEnd w:id="2"/>
  </w:tbl>
  <w:p w14:paraId="4DFE2318" w14:textId="77777777" w:rsidR="00315BBC" w:rsidRDefault="00315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6B90" w14:textId="77777777" w:rsidR="00292485" w:rsidRDefault="00292485" w:rsidP="00315BBC">
      <w:pPr>
        <w:spacing w:line="240" w:lineRule="auto"/>
      </w:pPr>
      <w:r>
        <w:separator/>
      </w:r>
    </w:p>
  </w:footnote>
  <w:footnote w:type="continuationSeparator" w:id="0">
    <w:p w14:paraId="55B233E9" w14:textId="77777777" w:rsidR="00292485" w:rsidRDefault="00292485" w:rsidP="00315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CBB" w14:textId="04CFB905" w:rsidR="00315BBC" w:rsidRDefault="00315BBC">
    <w:pPr>
      <w:pStyle w:val="Header"/>
    </w:pPr>
    <w:r>
      <w:rPr>
        <w:noProof/>
      </w:rPr>
      <w:drawing>
        <wp:inline distT="0" distB="0" distL="0" distR="0" wp14:anchorId="2FF9B255" wp14:editId="193B4597">
          <wp:extent cx="638175" cy="571500"/>
          <wp:effectExtent l="0" t="0" r="9525" b="0"/>
          <wp:docPr id="10" name="Picture 10" descr="Full_Color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ll_Color_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AAAD2C8"/>
    <w:lvl w:ilvl="0">
      <w:start w:val="1"/>
      <w:numFmt w:val="decimal"/>
      <w:lvlText w:val="%1."/>
      <w:lvlJc w:val="left"/>
      <w:pPr>
        <w:tabs>
          <w:tab w:val="num" w:pos="643"/>
        </w:tabs>
        <w:ind w:left="643" w:hanging="360"/>
      </w:pPr>
    </w:lvl>
  </w:abstractNum>
  <w:abstractNum w:abstractNumId="1" w15:restartNumberingAfterBreak="0">
    <w:nsid w:val="0ABD3308"/>
    <w:multiLevelType w:val="hybridMultilevel"/>
    <w:tmpl w:val="FBCA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77699"/>
    <w:multiLevelType w:val="hybridMultilevel"/>
    <w:tmpl w:val="F698E6E0"/>
    <w:lvl w:ilvl="0" w:tplc="A302ECD0">
      <w:start w:val="1"/>
      <w:numFmt w:val="bullet"/>
      <w:pStyle w:val="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5B44A0"/>
    <w:multiLevelType w:val="hybridMultilevel"/>
    <w:tmpl w:val="F0627372"/>
    <w:lvl w:ilvl="0" w:tplc="F82A2D22">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22D1429"/>
    <w:multiLevelType w:val="multilevel"/>
    <w:tmpl w:val="894246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60847145">
    <w:abstractNumId w:val="4"/>
  </w:num>
  <w:num w:numId="2" w16cid:durableId="847019278">
    <w:abstractNumId w:val="4"/>
  </w:num>
  <w:num w:numId="3" w16cid:durableId="1194920282">
    <w:abstractNumId w:val="3"/>
  </w:num>
  <w:num w:numId="4" w16cid:durableId="773595054">
    <w:abstractNumId w:val="3"/>
  </w:num>
  <w:num w:numId="5" w16cid:durableId="1770782866">
    <w:abstractNumId w:val="4"/>
  </w:num>
  <w:num w:numId="6" w16cid:durableId="476842868">
    <w:abstractNumId w:val="4"/>
  </w:num>
  <w:num w:numId="7" w16cid:durableId="310446161">
    <w:abstractNumId w:val="4"/>
  </w:num>
  <w:num w:numId="8" w16cid:durableId="276719371">
    <w:abstractNumId w:val="4"/>
  </w:num>
  <w:num w:numId="9" w16cid:durableId="657928492">
    <w:abstractNumId w:val="4"/>
  </w:num>
  <w:num w:numId="10" w16cid:durableId="1448043991">
    <w:abstractNumId w:val="4"/>
  </w:num>
  <w:num w:numId="11" w16cid:durableId="1557355402">
    <w:abstractNumId w:val="1"/>
  </w:num>
  <w:num w:numId="12" w16cid:durableId="1287814666">
    <w:abstractNumId w:val="2"/>
  </w:num>
  <w:num w:numId="13" w16cid:durableId="301154592">
    <w:abstractNumId w:val="0"/>
  </w:num>
  <w:num w:numId="14" w16cid:durableId="992679901">
    <w:abstractNumId w:val="0"/>
  </w:num>
  <w:num w:numId="15" w16cid:durableId="1301154913">
    <w:abstractNumId w:val="0"/>
  </w:num>
  <w:num w:numId="16" w16cid:durableId="106170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7"/>
    <w:rsid w:val="000020CC"/>
    <w:rsid w:val="00030DE4"/>
    <w:rsid w:val="00050953"/>
    <w:rsid w:val="000579CD"/>
    <w:rsid w:val="00097C40"/>
    <w:rsid w:val="000D5E33"/>
    <w:rsid w:val="000E1638"/>
    <w:rsid w:val="001049AA"/>
    <w:rsid w:val="00120F31"/>
    <w:rsid w:val="00126F3A"/>
    <w:rsid w:val="001504C8"/>
    <w:rsid w:val="0018078B"/>
    <w:rsid w:val="00207D22"/>
    <w:rsid w:val="00220170"/>
    <w:rsid w:val="00221211"/>
    <w:rsid w:val="00292485"/>
    <w:rsid w:val="002C481A"/>
    <w:rsid w:val="002C6D20"/>
    <w:rsid w:val="00315BBC"/>
    <w:rsid w:val="00343B4E"/>
    <w:rsid w:val="0035010C"/>
    <w:rsid w:val="00351335"/>
    <w:rsid w:val="00352C04"/>
    <w:rsid w:val="003703CB"/>
    <w:rsid w:val="00385A4C"/>
    <w:rsid w:val="0039079E"/>
    <w:rsid w:val="00393002"/>
    <w:rsid w:val="003A4F08"/>
    <w:rsid w:val="003C5429"/>
    <w:rsid w:val="003D7215"/>
    <w:rsid w:val="003E08DF"/>
    <w:rsid w:val="003E7349"/>
    <w:rsid w:val="00406E1A"/>
    <w:rsid w:val="004151BE"/>
    <w:rsid w:val="00432988"/>
    <w:rsid w:val="004E6137"/>
    <w:rsid w:val="00561BF5"/>
    <w:rsid w:val="005810A2"/>
    <w:rsid w:val="00583301"/>
    <w:rsid w:val="005F6503"/>
    <w:rsid w:val="00601418"/>
    <w:rsid w:val="00610035"/>
    <w:rsid w:val="00633A94"/>
    <w:rsid w:val="0067332C"/>
    <w:rsid w:val="0069628D"/>
    <w:rsid w:val="006C2DF5"/>
    <w:rsid w:val="006C7003"/>
    <w:rsid w:val="006D3CB2"/>
    <w:rsid w:val="006E08E1"/>
    <w:rsid w:val="006E6DA8"/>
    <w:rsid w:val="006F09C3"/>
    <w:rsid w:val="007110E7"/>
    <w:rsid w:val="0071446F"/>
    <w:rsid w:val="00720E8A"/>
    <w:rsid w:val="00732F36"/>
    <w:rsid w:val="0076027C"/>
    <w:rsid w:val="007A2963"/>
    <w:rsid w:val="007A6094"/>
    <w:rsid w:val="007C2A78"/>
    <w:rsid w:val="00815ABE"/>
    <w:rsid w:val="008220E8"/>
    <w:rsid w:val="00830BA7"/>
    <w:rsid w:val="008351A1"/>
    <w:rsid w:val="00851FB0"/>
    <w:rsid w:val="008730F2"/>
    <w:rsid w:val="008760BB"/>
    <w:rsid w:val="00887B7B"/>
    <w:rsid w:val="008A4C17"/>
    <w:rsid w:val="008A6458"/>
    <w:rsid w:val="008A64DE"/>
    <w:rsid w:val="008B1383"/>
    <w:rsid w:val="008D12DD"/>
    <w:rsid w:val="008D700E"/>
    <w:rsid w:val="00900728"/>
    <w:rsid w:val="00921FFD"/>
    <w:rsid w:val="009557C6"/>
    <w:rsid w:val="00957232"/>
    <w:rsid w:val="00974F69"/>
    <w:rsid w:val="009D7EA5"/>
    <w:rsid w:val="00A52324"/>
    <w:rsid w:val="00A55DAB"/>
    <w:rsid w:val="00AB1418"/>
    <w:rsid w:val="00AD7782"/>
    <w:rsid w:val="00AD7E7E"/>
    <w:rsid w:val="00AE3BDC"/>
    <w:rsid w:val="00AE587D"/>
    <w:rsid w:val="00AF3CDC"/>
    <w:rsid w:val="00AF58E8"/>
    <w:rsid w:val="00B05B1C"/>
    <w:rsid w:val="00B12442"/>
    <w:rsid w:val="00B401DE"/>
    <w:rsid w:val="00B62684"/>
    <w:rsid w:val="00B809CA"/>
    <w:rsid w:val="00B87FAD"/>
    <w:rsid w:val="00BA6389"/>
    <w:rsid w:val="00BB7297"/>
    <w:rsid w:val="00BD57C3"/>
    <w:rsid w:val="00C50FA6"/>
    <w:rsid w:val="00C80817"/>
    <w:rsid w:val="00D20333"/>
    <w:rsid w:val="00D61A6C"/>
    <w:rsid w:val="00D8441E"/>
    <w:rsid w:val="00DF27F0"/>
    <w:rsid w:val="00E55738"/>
    <w:rsid w:val="00E652DC"/>
    <w:rsid w:val="00E70B5D"/>
    <w:rsid w:val="00E7554D"/>
    <w:rsid w:val="00F4718F"/>
    <w:rsid w:val="00F56A43"/>
    <w:rsid w:val="00F56FE3"/>
    <w:rsid w:val="00F642EF"/>
    <w:rsid w:val="00F947DB"/>
    <w:rsid w:val="00FF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D8E4"/>
  <w15:chartTrackingRefBased/>
  <w15:docId w15:val="{16A8381A-56B0-468D-8E4A-8AD67F18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88"/>
    <w:pPr>
      <w:spacing w:after="0" w:line="276" w:lineRule="auto"/>
    </w:pPr>
    <w:rPr>
      <w:rFonts w:eastAsiaTheme="minorEastAsia"/>
      <w:sz w:val="20"/>
    </w:rPr>
  </w:style>
  <w:style w:type="paragraph" w:styleId="Heading1">
    <w:name w:val="heading 1"/>
    <w:basedOn w:val="Normal"/>
    <w:next w:val="Normal"/>
    <w:link w:val="Heading1Char"/>
    <w:uiPriority w:val="9"/>
    <w:qFormat/>
    <w:rsid w:val="00F56A43"/>
    <w:pPr>
      <w:pageBreakBefore/>
      <w:widowControl w:val="0"/>
      <w:numPr>
        <w:numId w:val="10"/>
      </w:numPr>
      <w:pBdr>
        <w:bottom w:val="single" w:sz="4" w:space="1" w:color="auto"/>
      </w:pBdr>
      <w:spacing w:after="24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F56A43"/>
    <w:pPr>
      <w:keepNext/>
      <w:keepLines/>
      <w:numPr>
        <w:ilvl w:val="1"/>
        <w:numId w:val="10"/>
      </w:numPr>
      <w:spacing w:before="120" w:after="120" w:line="240" w:lineRule="auto"/>
      <w:outlineLvl w:val="1"/>
    </w:pPr>
    <w:rPr>
      <w:rFonts w:ascii="Calibri" w:eastAsiaTheme="majorEastAsia" w:hAnsi="Calibri" w:cstheme="majorBidi"/>
      <w:b/>
      <w:color w:val="000000" w:themeColor="text1"/>
      <w:sz w:val="28"/>
      <w:szCs w:val="26"/>
    </w:rPr>
  </w:style>
  <w:style w:type="paragraph" w:styleId="Heading3">
    <w:name w:val="heading 3"/>
    <w:basedOn w:val="Normal"/>
    <w:next w:val="Normal"/>
    <w:link w:val="Heading3Char"/>
    <w:uiPriority w:val="9"/>
    <w:unhideWhenUsed/>
    <w:qFormat/>
    <w:rsid w:val="00F56A43"/>
    <w:pPr>
      <w:keepNext/>
      <w:keepLines/>
      <w:numPr>
        <w:ilvl w:val="2"/>
        <w:numId w:val="10"/>
      </w:numPr>
      <w:spacing w:before="120" w:after="120" w:line="240" w:lineRule="auto"/>
      <w:outlineLvl w:val="2"/>
    </w:pPr>
    <w:rPr>
      <w:rFonts w:ascii="Calibri" w:eastAsiaTheme="majorEastAsia" w:hAnsi="Calibri" w:cstheme="majorBidi"/>
      <w:color w:val="000000" w:themeColor="text1"/>
      <w:sz w:val="26"/>
      <w:szCs w:val="24"/>
    </w:rPr>
  </w:style>
  <w:style w:type="paragraph" w:styleId="Heading4">
    <w:name w:val="heading 4"/>
    <w:basedOn w:val="Normal"/>
    <w:next w:val="Normal"/>
    <w:link w:val="Heading4Char"/>
    <w:uiPriority w:val="9"/>
    <w:unhideWhenUsed/>
    <w:qFormat/>
    <w:rsid w:val="00F56A43"/>
    <w:pPr>
      <w:keepNext/>
      <w:keepLines/>
      <w:numPr>
        <w:ilvl w:val="3"/>
        <w:numId w:val="1"/>
      </w:numPr>
      <w:spacing w:before="120" w:after="60" w:line="240" w:lineRule="auto"/>
      <w:ind w:left="0" w:firstLine="0"/>
      <w:outlineLvl w:val="3"/>
    </w:pPr>
    <w:rPr>
      <w:rFonts w:ascii="Calibri" w:eastAsiaTheme="majorEastAsia" w:hAnsi="Calibri" w:cstheme="majorBidi"/>
      <w:iCs/>
      <w:color w:val="000000" w:themeColor="text1"/>
    </w:rPr>
  </w:style>
  <w:style w:type="paragraph" w:styleId="Heading5">
    <w:name w:val="heading 5"/>
    <w:basedOn w:val="Normal"/>
    <w:next w:val="Normal"/>
    <w:link w:val="Heading5Char"/>
    <w:uiPriority w:val="9"/>
    <w:semiHidden/>
    <w:unhideWhenUsed/>
    <w:qFormat/>
    <w:rsid w:val="00F56A43"/>
    <w:pPr>
      <w:keepNext/>
      <w:keepLines/>
      <w:numPr>
        <w:ilvl w:val="4"/>
        <w:numId w:val="10"/>
      </w:numPr>
      <w:spacing w:before="120" w:after="60" w:line="240" w:lineRule="auto"/>
      <w:outlineLvl w:val="4"/>
    </w:pPr>
    <w:rPr>
      <w:rFonts w:ascii="Calibri" w:eastAsiaTheme="majorEastAsia" w:hAnsi="Calibr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_table_style"/>
    <w:basedOn w:val="GridTable1Light-Accent1"/>
    <w:uiPriority w:val="99"/>
    <w:rsid w:val="009557C6"/>
    <w:rPr>
      <w:rFonts w:eastAsiaTheme="minorEastAsia"/>
      <w:sz w:val="20"/>
      <w:szCs w:val="20"/>
      <w:lang w:val="en-AE"/>
    </w:rP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57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MediumList2-Accent1">
    <w:name w:val="Medium List 2 Accent 1"/>
    <w:basedOn w:val="TableNormal"/>
    <w:uiPriority w:val="66"/>
    <w:rsid w:val="009557C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aliases w:val="Table Results"/>
    <w:basedOn w:val="TableNormal"/>
    <w:uiPriority w:val="59"/>
    <w:rsid w:val="00B809CA"/>
    <w:pPr>
      <w:spacing w:after="0" w:line="240" w:lineRule="auto"/>
    </w:pPr>
    <w:rPr>
      <w:rFonts w:ascii="Calibri" w:eastAsiaTheme="minorEastAsia" w:hAnsi="Calibri"/>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 w:type="character" w:customStyle="1" w:styleId="Heading1Char">
    <w:name w:val="Heading 1 Char"/>
    <w:basedOn w:val="DefaultParagraphFont"/>
    <w:link w:val="Heading1"/>
    <w:uiPriority w:val="9"/>
    <w:rsid w:val="007C2A78"/>
    <w:rPr>
      <w:rFonts w:eastAsiaTheme="majorEastAsia" w:cstheme="majorBidi"/>
      <w:b/>
      <w:bCs/>
      <w:color w:val="000000" w:themeColor="text1"/>
      <w:sz w:val="32"/>
      <w:szCs w:val="28"/>
    </w:rPr>
  </w:style>
  <w:style w:type="character" w:customStyle="1" w:styleId="Heading2Char">
    <w:name w:val="Heading 2 Char"/>
    <w:basedOn w:val="DefaultParagraphFont"/>
    <w:link w:val="Heading2"/>
    <w:uiPriority w:val="9"/>
    <w:rsid w:val="00F56A43"/>
    <w:rPr>
      <w:rFonts w:ascii="Calibri" w:eastAsiaTheme="majorEastAsia" w:hAnsi="Calibri" w:cstheme="majorBidi"/>
      <w:b/>
      <w:color w:val="000000" w:themeColor="text1"/>
      <w:sz w:val="28"/>
      <w:szCs w:val="26"/>
    </w:rPr>
  </w:style>
  <w:style w:type="character" w:customStyle="1" w:styleId="Heading3Char">
    <w:name w:val="Heading 3 Char"/>
    <w:basedOn w:val="DefaultParagraphFont"/>
    <w:link w:val="Heading3"/>
    <w:uiPriority w:val="9"/>
    <w:rsid w:val="00F56A43"/>
    <w:rPr>
      <w:rFonts w:ascii="Calibri" w:eastAsiaTheme="majorEastAsia" w:hAnsi="Calibri" w:cstheme="majorBidi"/>
      <w:color w:val="000000" w:themeColor="text1"/>
      <w:sz w:val="26"/>
      <w:szCs w:val="24"/>
    </w:rPr>
  </w:style>
  <w:style w:type="character" w:customStyle="1" w:styleId="Heading4Char">
    <w:name w:val="Heading 4 Char"/>
    <w:basedOn w:val="DefaultParagraphFont"/>
    <w:link w:val="Heading4"/>
    <w:uiPriority w:val="9"/>
    <w:rsid w:val="00F56A43"/>
    <w:rPr>
      <w:rFonts w:ascii="Calibri" w:eastAsiaTheme="majorEastAsia" w:hAnsi="Calibri" w:cstheme="majorBidi"/>
      <w:iCs/>
      <w:color w:val="000000" w:themeColor="text1"/>
    </w:rPr>
  </w:style>
  <w:style w:type="character" w:customStyle="1" w:styleId="Heading5Char">
    <w:name w:val="Heading 5 Char"/>
    <w:basedOn w:val="DefaultParagraphFont"/>
    <w:link w:val="Heading5"/>
    <w:uiPriority w:val="9"/>
    <w:semiHidden/>
    <w:rsid w:val="00F56A43"/>
    <w:rPr>
      <w:rFonts w:ascii="Calibri" w:eastAsiaTheme="majorEastAsia" w:hAnsi="Calibri" w:cstheme="majorBidi"/>
    </w:rPr>
  </w:style>
  <w:style w:type="table" w:styleId="GridTable1Light-Accent5">
    <w:name w:val="Grid Table 1 Light Accent 5"/>
    <w:basedOn w:val="TableNormal"/>
    <w:uiPriority w:val="46"/>
    <w:rsid w:val="008A64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ecolumn">
    <w:name w:val="Table_column"/>
    <w:basedOn w:val="GridTable5Dark"/>
    <w:uiPriority w:val="99"/>
    <w:rsid w:val="008A64DE"/>
    <w:tbl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
    <w:name w:val="Grid Table 5 Dark"/>
    <w:basedOn w:val="TableNormal"/>
    <w:uiPriority w:val="50"/>
    <w:rsid w:val="008A64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rows">
    <w:name w:val="Table_rows"/>
    <w:basedOn w:val="TableGrid"/>
    <w:uiPriority w:val="99"/>
    <w:rsid w:val="004151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Calibri" w:hAnsi="Calibri"/>
        <w:b/>
        <w:bCs/>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top w:val="single" w:sz="4" w:space="0" w:color="000000" w:themeColor="text1"/>
          <w:left w:val="single" w:sz="4" w:space="0" w:color="000000" w:themeColor="text1"/>
          <w:bottom w:val="single" w:sz="4" w:space="0" w:color="000000" w:themeColor="text1"/>
          <w:right w:val="nil"/>
          <w:insideH w:val="single" w:sz="4" w:space="0" w:color="000000" w:themeColor="text1"/>
          <w:insideV w:val="single" w:sz="4" w:space="0" w:color="000000" w:themeColor="text1"/>
          <w:tl2br w:val="nil"/>
          <w:tr2bl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3">
    <w:name w:val="List Table 3 Accent 3"/>
    <w:basedOn w:val="TableNormal"/>
    <w:uiPriority w:val="48"/>
    <w:rsid w:val="00887B7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315BBC"/>
    <w:pPr>
      <w:tabs>
        <w:tab w:val="center" w:pos="4680"/>
        <w:tab w:val="right" w:pos="9360"/>
      </w:tabs>
      <w:spacing w:line="240" w:lineRule="auto"/>
    </w:pPr>
  </w:style>
  <w:style w:type="character" w:customStyle="1" w:styleId="HeaderChar">
    <w:name w:val="Header Char"/>
    <w:basedOn w:val="DefaultParagraphFont"/>
    <w:link w:val="Header"/>
    <w:uiPriority w:val="99"/>
    <w:rsid w:val="00315BBC"/>
    <w:rPr>
      <w:rFonts w:eastAsiaTheme="minorEastAsia"/>
      <w:sz w:val="20"/>
    </w:rPr>
  </w:style>
  <w:style w:type="paragraph" w:styleId="Footer">
    <w:name w:val="footer"/>
    <w:basedOn w:val="Normal"/>
    <w:link w:val="FooterChar"/>
    <w:unhideWhenUsed/>
    <w:rsid w:val="00315BBC"/>
    <w:pPr>
      <w:tabs>
        <w:tab w:val="center" w:pos="4680"/>
        <w:tab w:val="right" w:pos="9360"/>
      </w:tabs>
      <w:spacing w:line="240" w:lineRule="auto"/>
    </w:pPr>
  </w:style>
  <w:style w:type="character" w:customStyle="1" w:styleId="FooterChar">
    <w:name w:val="Footer Char"/>
    <w:basedOn w:val="DefaultParagraphFont"/>
    <w:link w:val="Footer"/>
    <w:uiPriority w:val="99"/>
    <w:rsid w:val="00315BBC"/>
    <w:rPr>
      <w:rFonts w:eastAsiaTheme="minorEastAsia"/>
      <w:sz w:val="20"/>
    </w:rPr>
  </w:style>
  <w:style w:type="character" w:styleId="PageNumber">
    <w:name w:val="page number"/>
    <w:basedOn w:val="DefaultParagraphFont"/>
    <w:rsid w:val="00315BBC"/>
    <w:rPr>
      <w:rFonts w:ascii="Arial" w:hAnsi="Arial"/>
    </w:rPr>
  </w:style>
  <w:style w:type="paragraph" w:styleId="TOCHeading">
    <w:name w:val="TOC Heading"/>
    <w:basedOn w:val="Heading1"/>
    <w:next w:val="Normal"/>
    <w:uiPriority w:val="39"/>
    <w:unhideWhenUsed/>
    <w:qFormat/>
    <w:rsid w:val="002C481A"/>
    <w:pPr>
      <w:keepNext/>
      <w:keepLines/>
      <w:pageBreakBefore w:val="0"/>
      <w:widowControl/>
      <w:numPr>
        <w:numId w:val="0"/>
      </w:numPr>
      <w:pBdr>
        <w:bottom w:val="none" w:sz="0" w:space="0" w:color="auto"/>
      </w:pBdr>
      <w:spacing w:before="240" w:after="0" w:line="259" w:lineRule="auto"/>
      <w:outlineLvl w:val="9"/>
    </w:pPr>
    <w:rPr>
      <w:rFonts w:asciiTheme="majorHAnsi" w:hAnsiTheme="majorHAnsi"/>
      <w:b w:val="0"/>
      <w:bCs w:val="0"/>
      <w:color w:val="2F5496" w:themeColor="accent1" w:themeShade="BF"/>
      <w:szCs w:val="32"/>
    </w:rPr>
  </w:style>
  <w:style w:type="paragraph" w:styleId="IntenseQuote">
    <w:name w:val="Intense Quote"/>
    <w:aliases w:val="Critical"/>
    <w:basedOn w:val="Normal"/>
    <w:next w:val="Normal"/>
    <w:link w:val="IntenseQuoteChar"/>
    <w:uiPriority w:val="30"/>
    <w:qFormat/>
    <w:rsid w:val="00030DE4"/>
    <w:pPr>
      <w:pBdr>
        <w:top w:val="single" w:sz="4" w:space="10" w:color="000000" w:themeColor="text1"/>
        <w:bottom w:val="single" w:sz="4" w:space="10" w:color="000000" w:themeColor="text1"/>
      </w:pBdr>
      <w:spacing w:before="120"/>
    </w:pPr>
    <w:rPr>
      <w:iCs/>
      <w:color w:val="000000" w:themeColor="text1"/>
    </w:rPr>
  </w:style>
  <w:style w:type="character" w:customStyle="1" w:styleId="IntenseQuoteChar">
    <w:name w:val="Intense Quote Char"/>
    <w:aliases w:val="Critical Char"/>
    <w:basedOn w:val="DefaultParagraphFont"/>
    <w:link w:val="IntenseQuote"/>
    <w:uiPriority w:val="30"/>
    <w:rsid w:val="00030DE4"/>
    <w:rPr>
      <w:rFonts w:eastAsiaTheme="minorEastAsia"/>
      <w:iCs/>
      <w:color w:val="000000" w:themeColor="text1"/>
      <w:sz w:val="20"/>
    </w:rPr>
  </w:style>
  <w:style w:type="paragraph" w:styleId="ListParagraph">
    <w:name w:val="List Paragraph"/>
    <w:basedOn w:val="Normal"/>
    <w:uiPriority w:val="34"/>
    <w:qFormat/>
    <w:rsid w:val="00207D22"/>
    <w:pPr>
      <w:ind w:left="720"/>
      <w:contextualSpacing/>
    </w:pPr>
  </w:style>
  <w:style w:type="paragraph" w:customStyle="1" w:styleId="ListBullet1">
    <w:name w:val="List Bullet1"/>
    <w:basedOn w:val="ListParagraph"/>
    <w:qFormat/>
    <w:rsid w:val="006C2DF5"/>
    <w:pPr>
      <w:numPr>
        <w:numId w:val="12"/>
      </w:numPr>
      <w:spacing w:after="160" w:line="259" w:lineRule="auto"/>
    </w:pPr>
    <w:rPr>
      <w:rFonts w:cs="Times New Roman (Body CS)"/>
    </w:rPr>
  </w:style>
  <w:style w:type="character" w:styleId="SubtleReference">
    <w:name w:val="Subtle Reference"/>
    <w:basedOn w:val="DefaultParagraphFont"/>
    <w:uiPriority w:val="31"/>
    <w:qFormat/>
    <w:rsid w:val="006C7003"/>
    <w:rPr>
      <w:smallCaps/>
      <w:color w:val="5A5A5A" w:themeColor="text1" w:themeTint="A5"/>
    </w:rPr>
  </w:style>
  <w:style w:type="paragraph" w:styleId="Subtitle">
    <w:name w:val="Subtitle"/>
    <w:basedOn w:val="Normal"/>
    <w:next w:val="Normal"/>
    <w:link w:val="SubtitleChar"/>
    <w:uiPriority w:val="11"/>
    <w:qFormat/>
    <w:rsid w:val="006C7003"/>
    <w:pPr>
      <w:numPr>
        <w:ilvl w:val="1"/>
      </w:numPr>
      <w:spacing w:after="160"/>
    </w:pPr>
    <w:rPr>
      <w:color w:val="5A5A5A" w:themeColor="text1" w:themeTint="A5"/>
      <w:spacing w:val="15"/>
      <w:sz w:val="22"/>
    </w:rPr>
  </w:style>
  <w:style w:type="character" w:customStyle="1" w:styleId="SubtitleChar">
    <w:name w:val="Subtitle Char"/>
    <w:basedOn w:val="DefaultParagraphFont"/>
    <w:link w:val="Subtitle"/>
    <w:uiPriority w:val="11"/>
    <w:rsid w:val="006C7003"/>
    <w:rPr>
      <w:rFonts w:eastAsiaTheme="minorEastAsia"/>
      <w:color w:val="5A5A5A" w:themeColor="text1" w:themeTint="A5"/>
      <w:spacing w:val="15"/>
    </w:rPr>
  </w:style>
  <w:style w:type="character" w:styleId="SubtleEmphasis">
    <w:name w:val="Subtle Emphasis"/>
    <w:basedOn w:val="DefaultParagraphFont"/>
    <w:uiPriority w:val="19"/>
    <w:qFormat/>
    <w:rsid w:val="006C7003"/>
    <w:rPr>
      <w:i/>
      <w:iCs/>
      <w:color w:val="404040" w:themeColor="text1" w:themeTint="BF"/>
    </w:rPr>
  </w:style>
  <w:style w:type="paragraph" w:customStyle="1" w:styleId="sevHigh">
    <w:name w:val="sevHigh"/>
    <w:basedOn w:val="Normal"/>
    <w:qFormat/>
    <w:rsid w:val="001049AA"/>
    <w:pPr>
      <w:spacing w:after="160" w:line="259" w:lineRule="auto"/>
      <w:ind w:left="720"/>
      <w:jc w:val="right"/>
    </w:pPr>
    <w:rPr>
      <w:b/>
      <w:color w:val="EE0000"/>
      <w:sz w:val="16"/>
    </w:rPr>
  </w:style>
  <w:style w:type="paragraph" w:customStyle="1" w:styleId="sevMedium">
    <w:name w:val="sevMedium"/>
    <w:basedOn w:val="Normal"/>
    <w:qFormat/>
    <w:rsid w:val="001049AA"/>
    <w:pPr>
      <w:spacing w:after="160" w:line="259" w:lineRule="auto"/>
      <w:ind w:left="720"/>
      <w:jc w:val="right"/>
    </w:pPr>
    <w:rPr>
      <w:b/>
      <w:color w:val="ED7D31" w:themeColor="accent2"/>
      <w:sz w:val="16"/>
    </w:rPr>
  </w:style>
  <w:style w:type="paragraph" w:customStyle="1" w:styleId="sevLow">
    <w:name w:val="sevLow"/>
    <w:basedOn w:val="Normal"/>
    <w:qFormat/>
    <w:rsid w:val="001049AA"/>
    <w:pPr>
      <w:spacing w:after="160" w:line="259" w:lineRule="auto"/>
      <w:ind w:left="720"/>
      <w:jc w:val="right"/>
    </w:pPr>
    <w:rPr>
      <w:b/>
      <w:color w:val="5B9BD5" w:themeColor="accent5"/>
      <w:sz w:val="16"/>
    </w:rPr>
  </w:style>
  <w:style w:type="paragraph" w:customStyle="1" w:styleId="sevCritical">
    <w:name w:val="sevCritical"/>
    <w:basedOn w:val="Normal"/>
    <w:qFormat/>
    <w:rsid w:val="001049AA"/>
    <w:pPr>
      <w:spacing w:after="160" w:line="259" w:lineRule="auto"/>
      <w:ind w:left="720"/>
      <w:jc w:val="right"/>
    </w:pPr>
    <w:rPr>
      <w:b/>
      <w:color w:val="C00000"/>
      <w:sz w:val="16"/>
    </w:rPr>
  </w:style>
  <w:style w:type="paragraph" w:customStyle="1" w:styleId="sevInfo">
    <w:name w:val="sevInfo"/>
    <w:basedOn w:val="sevLow"/>
    <w:qFormat/>
    <w:rsid w:val="000020CC"/>
    <w:rPr>
      <w:noProof/>
      <w:color w:val="70AD47" w:themeColor="accent6"/>
    </w:rPr>
  </w:style>
  <w:style w:type="table" w:customStyle="1" w:styleId="MyTable">
    <w:name w:val="MyTable"/>
    <w:basedOn w:val="TableGrid"/>
    <w:uiPriority w:val="99"/>
    <w:rsid w:val="00DF27F0"/>
    <w:rPr>
      <w:sz w:val="11"/>
    </w:rPr>
    <w:tblPr>
      <w:tblStyleRowBandSize w:val="1"/>
    </w:tbl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deridis\AppData\Roaming\Microsoft\Templates\My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88F4-4A28-F84A-9496-E2209338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C:\Users\skenderidis\AppData\Roaming\Microsoft\Templates\My_Template.dotm</Template>
  <TotalTime>41</TotalTime>
  <Pages>2</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Skenderidis</dc:creator>
  <cp:keywords/>
  <dc:description/>
  <cp:lastModifiedBy>Kostas Skenderidis</cp:lastModifiedBy>
  <cp:revision>41</cp:revision>
  <dcterms:created xsi:type="dcterms:W3CDTF">2018-08-26T05:32:00Z</dcterms:created>
  <dcterms:modified xsi:type="dcterms:W3CDTF">2025-12-26T14:05:00Z</dcterms:modified>
</cp:coreProperties>
</file>