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line="240" w:lineRule="auto"/>
      </w:pPr>
      <w:r>
        <w:rPr>
          <w:b/>
          <w:bCs/>
          <w:color w:val="5A6472"/>
          <w:sz w:val="18"/>
          <w:szCs w:val="18"/>
        </w:rPr>
        <w:t xml:space="preserve">MARKET RESEARCH &amp; TECHNICAL BLUEPRINT · AUGUST 2026</w:t>
      </w:r>
    </w:p>
    <w:p>
      <w:pPr>
        <w:spacing w:after="60" w:line="240" w:lineRule="auto"/>
      </w:pPr>
      <w:r>
        <w:rPr>
          <w:b/>
          <w:bCs/>
          <w:color w:val="1F3A5F"/>
          <w:sz w:val="88"/>
          <w:szCs w:val="88"/>
        </w:rPr>
        <w:t xml:space="preserve">Scraper</w:t>
      </w:r>
    </w:p>
    <w:p>
      <w:pPr>
        <w:spacing w:after="260" w:line="240" w:lineRule="auto"/>
      </w:pPr>
      <w:r>
        <w:rPr>
          <w:color w:val="5A6472"/>
          <w:sz w:val="34"/>
          <w:szCs w:val="34"/>
        </w:rPr>
        <w:t xml:space="preserve">The Right to Be Forgotten</w:t>
      </w:r>
    </w:p>
    <w:p>
      <w:pPr>
        <w:pBdr>
          <w:bottom w:val="single" w:color="1F3A5F" w:sz="8" w:space="1"/>
        </w:pBdr>
        <w:spacing w:after="220" w:before="40"/>
      </w:pPr>
    </w:p>
    <w:p>
      <w:pPr>
        <w:spacing w:after="160" w:line="276" w:lineRule="auto"/>
      </w:pPr>
      <w:r>
        <w:rPr>
          <w:sz w:val="23"/>
          <w:szCs w:val="23"/>
        </w:rPr>
        <w:t xml:space="preserve">A consumer data-rights platform for Germany that automates the bureaucracy of exercising them: force every credit bureau to name where it got your data and purge the broker-sourced layer, keep identity fraud off your Schufa file, and fix what is actually in the file — with legal escalation behind every request and verified outcomes behind every claim.</w:t>
      </w:r>
    </w:p>
    <w:p>
      <w:pPr>
        <w:spacing w:after="160" w:line="276" w:lineRule="auto"/>
      </w:pPr>
      <w:r>
        <w:rPr>
          <w:color w:val="5A6472"/>
          <w:sz w:val="18"/>
          <w:szCs w:val="18"/>
        </w:rPr>
        <w:t xml:space="preserve">Prepared for DD · Research current as of 2 August 2026 · Germany/EU-first scope, with US context where strategically relevant.</w:t>
      </w:r>
    </w:p>
    <w:p>
      <w:pPr>
        <w:spacing w:after="160" w:line="276" w:lineRule="auto"/>
      </w:pPr>
      <w:r>
        <w:rPr>
          <w:color w:val="5A6472"/>
          <w:sz w:val="18"/>
          <w:szCs w:val="18"/>
        </w:rPr>
        <w:t xml:space="preserve">This document is market research and product design. It is not legal advice; regulatory points should be confirmed with counsel before launch. Claude is not a lawyer or financial advisor.</w:t>
      </w:r>
    </w:p>
    <w:p>
      <w:pPr>
        <w:spacing w:after="100" w:before="260"/>
      </w:pPr>
      <w:r>
        <w:rPr>
          <w:b/>
          <w:bCs/>
        </w:rPr>
        <w:t xml:space="preserve">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7646"/>
      </w:tblGrid>
      <w:tr>
        <w:trPr>
          <w:cantSplit/>
          <w:tblHeader/>
        </w:trPr>
        <w:tc>
          <w:tcPr>
            <w:tcW w:type="dxa" w:w="2100"/>
            <w:shd w:fill="1F3A5F" w:color="auto" w:val="clear"/>
            <w:tcMar>
              <w:top w:type="dxa" w:w="70"/>
              <w:left w:type="dxa" w:w="100"/>
              <w:bottom w:type="dxa" w:w="70"/>
              <w:right w:type="dxa" w:w="100"/>
            </w:tcMar>
            <w:vAlign w:val="center"/>
          </w:tcPr>
          <w:p>
            <w:pPr>
              <w:spacing w:after="0" w:line="250" w:lineRule="auto"/>
            </w:pPr>
            <w:r>
              <w:rPr>
                <w:b/>
                <w:bCs/>
                <w:color w:val="FFFFFF"/>
                <w:sz w:val="18"/>
                <w:szCs w:val="18"/>
              </w:rPr>
              <w:t xml:space="preserve">Number</w:t>
            </w:r>
          </w:p>
        </w:tc>
        <w:tc>
          <w:tcPr>
            <w:tcW w:type="dxa" w:w="7646"/>
            <w:shd w:fill="1F3A5F" w:color="auto" w:val="clear"/>
            <w:tcMar>
              <w:top w:type="dxa" w:w="70"/>
              <w:left w:type="dxa" w:w="100"/>
              <w:bottom w:type="dxa" w:w="70"/>
              <w:right w:type="dxa" w:w="100"/>
            </w:tcMar>
            <w:vAlign w:val="center"/>
          </w:tcPr>
          <w:p>
            <w:pPr>
              <w:spacing w:after="0" w:line="250" w:lineRule="auto"/>
            </w:pPr>
            <w:r>
              <w:rPr>
                <w:b/>
                <w:bCs/>
                <w:color w:val="FFFFFF"/>
                <w:sz w:val="18"/>
                <w:szCs w:val="18"/>
              </w:rPr>
              <w:t xml:space="preserve">Why it matters</w:t>
            </w:r>
          </w:p>
        </w:tc>
      </w:tr>
      <w:tr>
        <w:trPr>
          <w:cantSplit/>
        </w:trPr>
        <w:tc>
          <w:tcPr>
            <w:tcW w:type="dxa" w:w="2100"/>
            <w:tcMar>
              <w:top w:type="dxa" w:w="70"/>
              <w:left w:type="dxa" w:w="100"/>
              <w:bottom w:type="dxa" w:w="70"/>
              <w:right w:type="dxa" w:w="100"/>
            </w:tcMar>
            <w:vAlign w:val="center"/>
          </w:tcPr>
          <w:p>
            <w:pPr>
              <w:spacing w:after="0" w:line="250" w:lineRule="auto"/>
            </w:pPr>
            <w:r>
              <w:rPr>
                <w:b w:val="false"/>
                <w:bCs w:val="false"/>
                <w:sz w:val="18"/>
                <w:szCs w:val="18"/>
              </w:rPr>
              <w:t xml:space="preserve">83.5%</w:t>
            </w:r>
          </w:p>
        </w:tc>
        <w:tc>
          <w:tcPr>
            <w:tcW w:type="dxa" w:w="7646"/>
            <w:tcMar>
              <w:top w:type="dxa" w:w="70"/>
              <w:left w:type="dxa" w:w="100"/>
              <w:bottom w:type="dxa" w:w="70"/>
              <w:right w:type="dxa" w:w="100"/>
            </w:tcMar>
            <w:vAlign w:val="center"/>
          </w:tcPr>
          <w:p>
            <w:pPr>
              <w:spacing w:after="0" w:line="250" w:lineRule="auto"/>
            </w:pPr>
            <w:r>
              <w:rPr>
                <w:b w:val="false"/>
                <w:bCs w:val="false"/>
                <w:sz w:val="18"/>
                <w:szCs w:val="18"/>
              </w:rPr>
              <w:t xml:space="preserve">GDPR access requests answered improperly or not at all (noyb, April 2026). Strong rights, failing compliance — the gap this business monetises.</w:t>
            </w:r>
          </w:p>
        </w:tc>
      </w:tr>
      <w:tr>
        <w:trPr>
          <w:cantSplit/>
        </w:trPr>
        <w:tc>
          <w:tcPr>
            <w:tcW w:type="dxa" w:w="2100"/>
            <w:shd w:fill="F3F6FA" w:color="auto" w:val="clear"/>
            <w:tcMar>
              <w:top w:type="dxa" w:w="70"/>
              <w:left w:type="dxa" w:w="100"/>
              <w:bottom w:type="dxa" w:w="70"/>
              <w:right w:type="dxa" w:w="100"/>
            </w:tcMar>
            <w:vAlign w:val="center"/>
          </w:tcPr>
          <w:p>
            <w:pPr>
              <w:spacing w:after="0" w:line="250" w:lineRule="auto"/>
            </w:pPr>
            <w:r>
              <w:rPr>
                <w:b w:val="false"/>
                <w:bCs w:val="false"/>
                <w:sz w:val="18"/>
                <w:szCs w:val="18"/>
              </w:rPr>
              <w:t xml:space="preserve">264 / 999</w:t>
            </w:r>
          </w:p>
        </w:tc>
        <w:tc>
          <w:tcPr>
            <w:tcW w:type="dxa" w:w="7646"/>
            <w:shd w:fill="F3F6FA" w:color="auto" w:val="clear"/>
            <w:tcMar>
              <w:top w:type="dxa" w:w="70"/>
              <w:left w:type="dxa" w:w="100"/>
              <w:bottom w:type="dxa" w:w="70"/>
              <w:right w:type="dxa" w:w="100"/>
            </w:tcMar>
            <w:vAlign w:val="center"/>
          </w:tcPr>
          <w:p>
            <w:pPr>
              <w:spacing w:after="0" w:line="250" w:lineRule="auto"/>
            </w:pPr>
            <w:r>
              <w:rPr>
                <w:b w:val="false"/>
                <w:bCs w:val="false"/>
                <w:sz w:val="18"/>
                <w:szCs w:val="18"/>
              </w:rPr>
              <w:t xml:space="preserve">Weight of payment defaults in the new Schufa score — the heaviest criterion. One fraud-planted negative entry outweighs anything else a consumer can do, so protecting the file beats "optimising" it.</w:t>
            </w:r>
          </w:p>
        </w:tc>
      </w:tr>
      <w:tr>
        <w:trPr>
          <w:cantSplit/>
        </w:trPr>
        <w:tc>
          <w:tcPr>
            <w:tcW w:type="dxa" w:w="2100"/>
            <w:tcMar>
              <w:top w:type="dxa" w:w="70"/>
              <w:left w:type="dxa" w:w="100"/>
              <w:bottom w:type="dxa" w:w="70"/>
              <w:right w:type="dxa" w:w="100"/>
            </w:tcMar>
            <w:vAlign w:val="center"/>
          </w:tcPr>
          <w:p>
            <w:pPr>
              <w:spacing w:after="0" w:line="250" w:lineRule="auto"/>
            </w:pPr>
            <w:r>
              <w:rPr>
                <w:b w:val="false"/>
                <w:bCs w:val="false"/>
                <w:sz w:val="18"/>
                <w:szCs w:val="18"/>
              </w:rPr>
              <w:t xml:space="preserve">"Datenlieferanten"</w:t>
            </w:r>
          </w:p>
        </w:tc>
        <w:tc>
          <w:tcPr>
            <w:tcW w:type="dxa" w:w="7646"/>
            <w:tcMar>
              <w:top w:type="dxa" w:w="70"/>
              <w:left w:type="dxa" w:w="100"/>
              <w:bottom w:type="dxa" w:w="70"/>
              <w:right w:type="dxa" w:w="100"/>
            </w:tcMar>
            <w:vAlign w:val="center"/>
          </w:tcPr>
          <w:p>
            <w:pPr>
              <w:spacing w:after="0" w:line="250" w:lineRule="auto"/>
            </w:pPr>
            <w:r>
              <w:rPr>
                <w:b w:val="false"/>
                <w:bCs w:val="false"/>
                <w:sz w:val="18"/>
                <w:szCs w:val="18"/>
              </w:rPr>
              <w:t xml:space="preserve">The undefined third data-source channel in Schufa’s own Art. 14 notice — added around 2020, never explained, never investigated by any authority. The Provenance campaign starts here (section 6).</w:t>
            </w:r>
          </w:p>
        </w:tc>
      </w:tr>
      <w:tr>
        <w:trPr>
          <w:cantSplit/>
        </w:trPr>
        <w:tc>
          <w:tcPr>
            <w:tcW w:type="dxa" w:w="2100"/>
            <w:shd w:fill="F3F6FA" w:color="auto" w:val="clear"/>
            <w:tcMar>
              <w:top w:type="dxa" w:w="70"/>
              <w:left w:type="dxa" w:w="100"/>
              <w:bottom w:type="dxa" w:w="70"/>
              <w:right w:type="dxa" w:w="100"/>
            </w:tcMar>
            <w:vAlign w:val="center"/>
          </w:tcPr>
          <w:p>
            <w:pPr>
              <w:spacing w:after="0" w:line="250" w:lineRule="auto"/>
            </w:pPr>
            <w:r>
              <w:rPr>
                <w:b w:val="false"/>
                <w:bCs w:val="false"/>
                <w:sz w:val="18"/>
                <w:szCs w:val="18"/>
              </w:rPr>
              <w:t xml:space="preserve">Aug 2026</w:t>
            </w:r>
          </w:p>
        </w:tc>
        <w:tc>
          <w:tcPr>
            <w:tcW w:type="dxa" w:w="7646"/>
            <w:shd w:fill="F3F6FA" w:color="auto" w:val="clear"/>
            <w:tcMar>
              <w:top w:type="dxa" w:w="70"/>
              <w:left w:type="dxa" w:w="100"/>
              <w:bottom w:type="dxa" w:w="70"/>
              <w:right w:type="dxa" w:w="100"/>
            </w:tcMar>
            <w:vAlign w:val="center"/>
          </w:tcPr>
          <w:p>
            <w:pPr>
              <w:spacing w:after="0" w:line="250" w:lineRule="auto"/>
            </w:pPr>
            <w:r>
              <w:rPr>
                <w:b w:val="false"/>
                <w:bCs w:val="false"/>
                <w:sz w:val="18"/>
                <w:szCs w:val="18"/>
              </w:rPr>
              <w:t xml:space="preserve">infoscore/Experian’s current Art. 14 notice names address broker AZ Direct as a source and admits neighbourhood payment defaults enter its score — the practice regulators condemned at CRIF, admitted in writing.</w:t>
            </w:r>
          </w:p>
        </w:tc>
      </w:tr>
      <w:tr>
        <w:trPr>
          <w:cantSplit/>
        </w:trPr>
        <w:tc>
          <w:tcPr>
            <w:tcW w:type="dxa" w:w="2100"/>
            <w:tcMar>
              <w:top w:type="dxa" w:w="70"/>
              <w:left w:type="dxa" w:w="100"/>
              <w:bottom w:type="dxa" w:w="70"/>
              <w:right w:type="dxa" w:w="100"/>
            </w:tcMar>
            <w:vAlign w:val="center"/>
          </w:tcPr>
          <w:p>
            <w:pPr>
              <w:spacing w:after="0" w:line="250" w:lineRule="auto"/>
            </w:pPr>
            <w:r>
              <w:rPr>
                <w:b w:val="false"/>
                <w:bCs w:val="false"/>
                <w:sz w:val="18"/>
                <w:szCs w:val="18"/>
              </w:rPr>
              <w:t xml:space="preserve">9%</w:t>
            </w:r>
          </w:p>
        </w:tc>
        <w:tc>
          <w:tcPr>
            <w:tcW w:type="dxa" w:w="7646"/>
            <w:tcMar>
              <w:top w:type="dxa" w:w="70"/>
              <w:left w:type="dxa" w:w="100"/>
              <w:bottom w:type="dxa" w:w="70"/>
              <w:right w:type="dxa" w:w="100"/>
            </w:tcMar>
            <w:vAlign w:val="center"/>
          </w:tcPr>
          <w:p>
            <w:pPr>
              <w:spacing w:after="0" w:line="250" w:lineRule="auto"/>
            </w:pPr>
            <w:r>
              <w:rPr>
                <w:b w:val="false"/>
                <w:bCs w:val="false"/>
                <w:sz w:val="18"/>
                <w:szCs w:val="18"/>
              </w:rPr>
              <w:t xml:space="preserve">Share of German identity-fraud victims who notify Schufa, against ~€10bn consumer fraud damage in 2025. The response paperwork is exactly what software can automate.</w:t>
            </w:r>
          </w:p>
        </w:tc>
      </w:tr>
      <w:tr>
        <w:trPr>
          <w:cantSplit/>
        </w:trPr>
        <w:tc>
          <w:tcPr>
            <w:tcW w:type="dxa" w:w="2100"/>
            <w:shd w:fill="F3F6FA" w:color="auto" w:val="clear"/>
            <w:tcMar>
              <w:top w:type="dxa" w:w="70"/>
              <w:left w:type="dxa" w:w="100"/>
              <w:bottom w:type="dxa" w:w="70"/>
              <w:right w:type="dxa" w:w="100"/>
            </w:tcMar>
            <w:vAlign w:val="center"/>
          </w:tcPr>
          <w:p>
            <w:pPr>
              <w:spacing w:after="0" w:line="250" w:lineRule="auto"/>
            </w:pPr>
            <w:r>
              <w:rPr>
                <w:b w:val="false"/>
                <w:bCs w:val="false"/>
                <w:sz w:val="18"/>
                <w:szCs w:val="18"/>
              </w:rPr>
              <w:t xml:space="preserve">35% vs 70%</w:t>
            </w:r>
          </w:p>
        </w:tc>
        <w:tc>
          <w:tcPr>
            <w:tcW w:type="dxa" w:w="7646"/>
            <w:shd w:fill="F3F6FA" w:color="auto" w:val="clear"/>
            <w:tcMar>
              <w:top w:type="dxa" w:w="70"/>
              <w:left w:type="dxa" w:w="100"/>
              <w:bottom w:type="dxa" w:w="70"/>
              <w:right w:type="dxa" w:w="100"/>
            </w:tcMar>
            <w:vAlign w:val="center"/>
          </w:tcPr>
          <w:p>
            <w:pPr>
              <w:spacing w:after="0" w:line="250" w:lineRule="auto"/>
            </w:pPr>
            <w:r>
              <w:rPr>
                <w:b w:val="false"/>
                <w:bCs w:val="false"/>
                <w:sz w:val="18"/>
                <w:szCs w:val="18"/>
              </w:rPr>
              <w:t xml:space="preserve">Profiles removed by paid services in four months vs by manual effort in one week (Consumer Reports, 2024). Verification and follow-through are the industry weakness Scraper is built around.</w:t>
            </w:r>
          </w:p>
        </w:tc>
      </w:tr>
      <w:tr>
        <w:trPr>
          <w:cantSplit/>
        </w:trPr>
        <w:tc>
          <w:tcPr>
            <w:tcW w:type="dxa" w:w="2100"/>
            <w:tcMar>
              <w:top w:type="dxa" w:w="70"/>
              <w:left w:type="dxa" w:w="100"/>
              <w:bottom w:type="dxa" w:w="70"/>
              <w:right w:type="dxa" w:w="100"/>
            </w:tcMar>
            <w:vAlign w:val="center"/>
          </w:tcPr>
          <w:p>
            <w:pPr>
              <w:spacing w:after="0" w:line="250" w:lineRule="auto"/>
            </w:pPr>
            <w:r>
              <w:rPr>
                <w:b w:val="false"/>
                <w:bCs w:val="false"/>
                <w:sz w:val="18"/>
                <w:szCs w:val="18"/>
              </w:rPr>
              <w:t xml:space="preserve">1 Aug 2026</w:t>
            </w:r>
          </w:p>
        </w:tc>
        <w:tc>
          <w:tcPr>
            <w:tcW w:type="dxa" w:w="7646"/>
            <w:tcMar>
              <w:top w:type="dxa" w:w="70"/>
              <w:left w:type="dxa" w:w="100"/>
              <w:bottom w:type="dxa" w:w="70"/>
              <w:right w:type="dxa" w:w="100"/>
            </w:tcMar>
            <w:vAlign w:val="center"/>
          </w:tcPr>
          <w:p>
            <w:pPr>
              <w:spacing w:after="0" w:line="250" w:lineRule="auto"/>
            </w:pPr>
            <w:r>
              <w:rPr>
                <w:b w:val="false"/>
                <w:bCs w:val="false"/>
                <w:sz w:val="18"/>
                <w:szCs w:val="18"/>
              </w:rPr>
              <w:t xml:space="preserve">California’s DROP became binding for data brokers — proof that centralised deletion works. The EU has no equivalent, existing or proposed.</w:t>
            </w:r>
          </w:p>
        </w:tc>
      </w:tr>
      <w:tr>
        <w:trPr>
          <w:cantSplit/>
        </w:trPr>
        <w:tc>
          <w:tcPr>
            <w:tcW w:type="dxa" w:w="2100"/>
            <w:shd w:fill="F3F6FA" w:color="auto" w:val="clear"/>
            <w:tcMar>
              <w:top w:type="dxa" w:w="70"/>
              <w:left w:type="dxa" w:w="100"/>
              <w:bottom w:type="dxa" w:w="70"/>
              <w:right w:type="dxa" w:w="100"/>
            </w:tcMar>
            <w:vAlign w:val="center"/>
          </w:tcPr>
          <w:p>
            <w:pPr>
              <w:spacing w:after="0" w:line="250" w:lineRule="auto"/>
            </w:pPr>
            <w:r>
              <w:rPr>
                <w:b w:val="false"/>
                <w:bCs w:val="false"/>
                <w:sz w:val="18"/>
                <w:szCs w:val="18"/>
              </w:rPr>
              <w:t xml:space="preserve">€5–10 / month</w:t>
            </w:r>
          </w:p>
        </w:tc>
        <w:tc>
          <w:tcPr>
            <w:tcW w:type="dxa" w:w="7646"/>
            <w:shd w:fill="F3F6FA" w:color="auto" w:val="clear"/>
            <w:tcMar>
              <w:top w:type="dxa" w:w="70"/>
              <w:left w:type="dxa" w:w="100"/>
              <w:bottom w:type="dxa" w:w="70"/>
              <w:right w:type="dxa" w:w="100"/>
            </w:tcMar>
            <w:vAlign w:val="center"/>
          </w:tcPr>
          <w:p>
            <w:pPr>
              <w:spacing w:after="0" w:line="250" w:lineRule="auto"/>
            </w:pPr>
            <w:r>
              <w:rPr>
                <w:b w:val="false"/>
                <w:bCs w:val="false"/>
                <w:sz w:val="18"/>
                <w:szCs w:val="18"/>
              </w:rPr>
              <w:t xml:space="preserve">Observed German price anchors (Incogni ≈€7/mo; Datenputzer €5–7/mo) for the subscription core.</w:t>
            </w:r>
          </w:p>
        </w:tc>
      </w:tr>
    </w:tbl>
    <w:p>
      <w:pPr>
        <w:spacing w:after="80" w:before="280"/>
      </w:pPr>
      <w:r>
        <w:rPr>
          <w:b/>
          <w:bCs/>
        </w:rPr>
        <w:t xml:space="preserve">Contents</w:t>
      </w:r>
    </w:p>
    <w:p>
      <w:pPr>
        <w:spacing w:after="30"/>
      </w:pPr>
      <w:r>
        <w:rPr>
          <w:color w:val="5A6472"/>
          <w:sz w:val="18"/>
          <w:szCs w:val="18"/>
        </w:rPr>
        <w:t xml:space="preserve">1. Executive summary</w:t>
      </w:r>
    </w:p>
    <w:p>
      <w:pPr>
        <w:spacing w:after="30"/>
      </w:pPr>
      <w:r>
        <w:rPr>
          <w:color w:val="5A6472"/>
          <w:sz w:val="18"/>
          <w:szCs w:val="18"/>
        </w:rPr>
        <w:t xml:space="preserve">2. Why now: the regulatory window</w:t>
      </w:r>
    </w:p>
    <w:p>
      <w:pPr>
        <w:spacing w:after="30"/>
      </w:pPr>
      <w:r>
        <w:rPr>
          <w:color w:val="5A6472"/>
          <w:sz w:val="18"/>
          <w:szCs w:val="18"/>
        </w:rPr>
        <w:t xml:space="preserve">3. The German problem is different</w:t>
      </w:r>
    </w:p>
    <w:p>
      <w:pPr>
        <w:spacing w:after="30"/>
      </w:pPr>
      <w:r>
        <w:rPr>
          <w:color w:val="5A6472"/>
          <w:sz w:val="18"/>
          <w:szCs w:val="18"/>
        </w:rPr>
        <w:t xml:space="preserve">4. Competitive landscape</w:t>
      </w:r>
    </w:p>
    <w:p>
      <w:pPr>
        <w:spacing w:after="30"/>
      </w:pPr>
      <w:r>
        <w:rPr>
          <w:color w:val="5A6472"/>
          <w:sz w:val="18"/>
          <w:szCs w:val="18"/>
        </w:rPr>
        <w:t xml:space="preserve">5. What moves a Schufa score — and what does not</w:t>
      </w:r>
    </w:p>
    <w:p>
      <w:pPr>
        <w:spacing w:after="30"/>
      </w:pPr>
      <w:r>
        <w:rPr>
          <w:color w:val="5A6472"/>
          <w:sz w:val="18"/>
          <w:szCs w:val="18"/>
        </w:rPr>
        <w:t xml:space="preserve">6. The credit-data supply chain: the Datenlieferanten investigation</w:t>
      </w:r>
    </w:p>
    <w:p>
      <w:pPr>
        <w:spacing w:after="30"/>
      </w:pPr>
      <w:r>
        <w:rPr>
          <w:color w:val="5A6472"/>
          <w:sz w:val="18"/>
          <w:szCs w:val="18"/>
        </w:rPr>
        <w:t xml:space="preserve">7. Addressable market gaps</w:t>
      </w:r>
    </w:p>
    <w:p>
      <w:pPr>
        <w:spacing w:after="30"/>
      </w:pPr>
      <w:r>
        <w:rPr>
          <w:color w:val="5A6472"/>
          <w:sz w:val="18"/>
          <w:szCs w:val="18"/>
        </w:rPr>
        <w:t xml:space="preserve">8. International expansion: the underserved-market map</w:t>
      </w:r>
    </w:p>
    <w:p>
      <w:pPr>
        <w:spacing w:after="30"/>
      </w:pPr>
      <w:r>
        <w:rPr>
          <w:color w:val="5A6472"/>
          <w:sz w:val="18"/>
          <w:szCs w:val="18"/>
        </w:rPr>
        <w:t xml:space="preserve">9. Product blueprint: three modules, one engine</w:t>
      </w:r>
    </w:p>
    <w:p>
      <w:pPr>
        <w:spacing w:after="30"/>
      </w:pPr>
      <w:r>
        <w:rPr>
          <w:color w:val="5A6472"/>
          <w:sz w:val="18"/>
          <w:szCs w:val="18"/>
        </w:rPr>
        <w:t xml:space="preserve">10. The leverage ladder: non-legal routes to deletion</w:t>
      </w:r>
    </w:p>
    <w:p>
      <w:pPr>
        <w:spacing w:after="30"/>
      </w:pPr>
      <w:r>
        <w:rPr>
          <w:color w:val="5A6472"/>
          <w:sz w:val="18"/>
          <w:szCs w:val="18"/>
        </w:rPr>
        <w:t xml:space="preserve">11. Architecture, efficiency, and security hardening</w:t>
      </w:r>
    </w:p>
    <w:p>
      <w:pPr>
        <w:spacing w:after="30"/>
      </w:pPr>
      <w:r>
        <w:rPr>
          <w:color w:val="5A6472"/>
          <w:sz w:val="18"/>
          <w:szCs w:val="18"/>
        </w:rPr>
        <w:t xml:space="preserve">12. Countering web scraping: what is realistic</w:t>
      </w:r>
    </w:p>
    <w:p>
      <w:pPr>
        <w:spacing w:after="30"/>
      </w:pPr>
      <w:r>
        <w:rPr>
          <w:color w:val="5A6472"/>
          <w:sz w:val="18"/>
          <w:szCs w:val="18"/>
        </w:rPr>
        <w:t xml:space="preserve">13. Market size, business model, go-to-market</w:t>
      </w:r>
    </w:p>
    <w:p>
      <w:pPr>
        <w:spacing w:after="30"/>
      </w:pPr>
      <w:r>
        <w:rPr>
          <w:color w:val="5A6472"/>
          <w:sz w:val="18"/>
          <w:szCs w:val="18"/>
        </w:rPr>
        <w:t xml:space="preserve">14. Risks, constraints, compliance</w:t>
      </w:r>
    </w:p>
    <w:p>
      <w:pPr>
        <w:spacing w:after="30"/>
      </w:pPr>
      <w:r>
        <w:rPr>
          <w:color w:val="5A6472"/>
          <w:sz w:val="18"/>
          <w:szCs w:val="18"/>
        </w:rPr>
        <w:t xml:space="preserve">15. Roadmap</w:t>
      </w:r>
    </w:p>
    <w:p>
      <w:pPr>
        <w:spacing w:after="30"/>
      </w:pPr>
      <w:r>
        <w:rPr>
          <w:color w:val="5A6472"/>
          <w:sz w:val="18"/>
          <w:szCs w:val="18"/>
        </w:rPr>
        <w:t xml:space="preserve">16. Sources</w:t>
      </w:r>
    </w:p>
    <w:p>
      <w:r>
        <w:br w:type="page"/>
      </w:r>
    </w:p>
    <w:p>
      <w:pPr>
        <w:pStyle w:val="Heading1"/>
      </w:pPr>
      <w:r>
        <w:t xml:space="preserve">1. Executive summary</w:t>
      </w:r>
    </w:p>
    <w:p>
      <w:pPr>
        <w:spacing w:after="160" w:line="276" w:lineRule="auto"/>
      </w:pPr>
      <w:r>
        <w:t xml:space="preserve">Scraper gives German consumers a working right to be forgotten by automating the bureaucracy that keeps those rights theoretical. This version of the report is built around a research-driven pivot: the founding assumptions were tested against Schufa’s published scoring criteria, the bureaus’ own Article 14 disclosures, and four years of enforcement precedent — and the product that survives the test is sharper than the one that went in. Three flagship modules sit on one shared rights engine: </w:t>
      </w:r>
      <w:r>
        <w:rPr>
          <w:b/>
          <w:bCs/>
        </w:rPr>
        <w:t xml:space="preserve">Provenance</w:t>
      </w:r>
      <w:r>
        <w:t xml:space="preserve"> ("Woher haben die meine Daten?" — force every bureau to name its sources and purge the broker-sourced layer), </w:t>
      </w:r>
      <w:r>
        <w:rPr>
          <w:b/>
          <w:bCs/>
        </w:rPr>
        <w:t xml:space="preserve">Fraud Shield</w:t>
      </w:r>
      <w:r>
        <w:t xml:space="preserve"> (keep identity fraud off the file — the one channel through which exposed data really does wreck a Schufa score), and </w:t>
      </w:r>
      <w:r>
        <w:rPr>
          <w:b/>
          <w:bCs/>
        </w:rPr>
        <w:t xml:space="preserve">File Fixer</w:t>
      </w:r>
      <w:r>
        <w:t xml:space="preserve"> (automate the paperwork of data copies, disputes, deadlines and deletions). Germany-first, subscription core, browser extension later as an acquisition surface.</w:t>
      </w:r>
    </w:p>
    <w:p>
      <w:pPr>
        <w:spacing w:after="160" w:line="276" w:lineRule="auto"/>
      </w:pPr>
      <w:r>
        <w:rPr>
          <w:b/>
          <w:bCs/>
        </w:rPr>
        <w:t xml:space="preserve">The window is open.</w:t>
      </w:r>
      <w:r>
        <w:t xml:space="preserve"> Between December 2023 and August 2026 the ground shifted. The Court of Justice of the EU declared Schufa-style credit scoring an "automated decision" (C-634/21), giving consumers direct rights against the bureau; a follow-up ruling (C-203/22) held that controllers must explain the procedure and principles actually applied to a person — trade secrets are no blanket excuse. Schufa responded by replacing its ~250-variable black box with a 12-criteria, published-weights score now rolling out. The EDPB made the right to erasure its coordinated enforcement theme for 2025. And on 1 August 2026 — the day before this report — California’s DROP platform became binding on data brokers: the first proof anywhere that centralised, state-backed deletion infrastructure works. Europe has the world’s strongest deletion rights and no infrastructure to exercise them: noyb measured 83.5% of access requests answered improperly or not at all. That rights-infrastructure gap is the business.</w:t>
      </w:r>
    </w:p>
    <w:p>
      <w:pPr>
        <w:spacing w:after="160" w:line="276" w:lineRule="auto"/>
      </w:pPr>
      <w:r>
        <w:rPr>
          <w:b/>
          <w:bCs/>
        </w:rPr>
        <w:t xml:space="preserve">Germany is the most underserved major market.</w:t>
      </w:r>
      <w:r>
        <w:t xml:space="preserve"> Incogni (Surfshark/Nord) is the only scaled automated service that covers Germany at all; DeleteMe sells bespoke removals "on request" here; Optery, Aura and LifeLock do not operate in Europe; the leading free German self-disclosure portal, Selbstauskunft.net, has shut down; the nonprofit datenanfragen.de is a manual template generator; and the only German-native removal startup found, Datenputzer, is tiny. Crucially, the German problem is structurally different from the American one: there are no US-style people-search websites to scrub. The adversaries are credit bureaus (Schufa, CRIF, Creditreform Boniversum), address traders (Deutsche Post Direkt, AZ Direct, Schober, Acxiom), directories, and ad-tech location data. No incumbent playbook targets that stack. And Germany is a beachhead, not the ceiling: a scan of ten other high-income markets (section 8) finds the same rights-infrastructure gap wide open in Quebec (a French-language moat that keeps Optery out), the UK (a live Companies House address-suppression regime beneath a crowded generic tier), Sweden (where a July 2026 CJEU ruling just stripped the search-site industry of its GDPR exemption), and — as the largest and hardest prize — Japan.</w:t>
      </w:r>
    </w:p>
    <w:p>
      <w:pPr>
        <w:spacing w:after="160" w:line="276" w:lineRule="auto"/>
      </w:pPr>
      <w:r>
        <w:rPr>
          <w:b/>
          <w:bCs/>
        </w:rPr>
        <w:t xml:space="preserve">What the research changed.</w:t>
      </w:r>
      <w:r>
        <w:t xml:space="preserve"> The founding idea — counter web scraping to protect your score — does not survive contact with the evidence. The new Schufa score is built from twelve published credit-contract criteria; Schufa states plainly that it uses no social-network or web data (a line held since it abandoned the notorious SCHUFALab Facebook-mining project in 2012); and neighbourhood data enters only ~0.3% of scores, as a thin-file fallback. Privacy hygiene can even backfire: fraud-scoring vendors treat clean digital footprints and alias e-mails as risk signals. But the same research surfaced two channels that matter more. </w:t>
      </w:r>
      <w:r>
        <w:rPr>
          <w:b/>
          <w:bCs/>
        </w:rPr>
        <w:t xml:space="preserve">Identity fraud</w:t>
      </w:r>
      <w:r>
        <w:t xml:space="preserve"> converts leaked data into real negative entries — the heaviest criterion in the score — in a country with roughly €10bn of consumer fraud damage in 2025 and only 9% of victims notifying Schufa. And a set of bureaus </w:t>
      </w:r>
      <w:r>
        <w:rPr>
          <w:b/>
          <w:bCs/>
        </w:rPr>
        <w:t xml:space="preserve">really does buy broker data</w:t>
      </w:r>
      <w:r>
        <w:t xml:space="preserve">: infoscore/Experian’s current Article 14 notice names Bertelsmann’s AZ Direct as its address source and admits neighbourhood payment defaults enter its score, while Schufa’s own notice discloses an undefined "Datenlieferanten" source channel that no regulator has ever probed. Sections 5 and 6 lay out the evidence; the blueprint in section 9 is rebuilt on it.</w:t>
      </w:r>
    </w:p>
    <w:p>
      <w:pPr>
        <w:spacing w:after="160" w:line="276" w:lineRule="auto"/>
      </w:pPr>
      <w:r>
        <w:rPr>
          <w:b/>
          <w:bCs/>
        </w:rPr>
        <w:t xml:space="preserve">The conviction behind the pivot.</w:t>
      </w:r>
      <w:r>
        <w:t xml:space="preserve"> German data rights are among the strongest in the world and almost nobody uses them: awareness is near zero, and the real barrier is bureaucracy — the right letter to the right address with the right ID copy, the one-month statutory clock, the postal reply, the correct escalation venue. That is precisely what software automates. Notably, there is no documented case of an individual consumer completing a verified deletion of broker-sourced data from a German bureau. We read that as an unserved market rather than a dead end: the enforcement precedent is on the consumer’s side (Austria’s DPA, Bavaria’s BayLDA, and a live noyb class action all condemn the practice), and the failure to date has been distribution, not law. The discipline it imposes is honesty — the product measures and publishes its own verified outcomes instead of promising any.</w:t>
      </w:r>
    </w:p>
    <w:p>
      <w:pPr>
        <w:spacing w:after="160" w:line="276" w:lineRule="auto"/>
      </w:pPr>
      <w:r>
        <w:rPr>
          <w:b/>
          <w:bCs/>
        </w:rPr>
        <w:t xml:space="preserve">Honest limits, engineered around.</w:t>
      </w:r>
      <w:r>
        <w:t xml:space="preserve"> A consumer product cannot technically stop the scraping of public data — US courts protect it and the real defences belong to site operators, not individuals. Device-ID ad-tech data (the "Databroker Files" scandal) is largely unreachable by name-based requests. Brokers repopulate deleted records from fresh feeds. The model is therefore a continuous loop — monitor, remove, verify, escalate, deter — priced as a subscription at €6–10 per month, governed by the leverage ladder in section 10 (most consumer welfare is created before any legal letter is sent) and the amortisation doctrine in section 11 (everything expensive is built once per controller and serves every user). And one more launch gate came out of this revision: </w:t>
      </w:r>
      <w:r>
        <w:rPr>
          <w:b/>
          <w:bCs/>
        </w:rPr>
        <w:t xml:space="preserve">usability</w:t>
      </w:r>
      <w:r>
        <w:t xml:space="preserve">. If the thesis is that bureaucracy is the pain point, the product must not feel like bureaucracy — any German, of any background, must understand the risk, the benefit and the next step from visual cues and guided flows alone, never from a tutorial (section 9.5).</w:t>
      </w:r>
    </w:p>
    <w:p>
      <w:pPr>
        <w:pStyle w:val="Heading1"/>
      </w:pPr>
      <w:r>
        <w:t xml:space="preserve">2. Why now: the regulatory window</w:t>
      </w:r>
    </w:p>
    <w:p>
      <w:pPr>
        <w:spacing w:after="160" w:line="276" w:lineRule="auto"/>
      </w:pPr>
      <w:r>
        <w:rPr>
          <w:b/>
          <w:bCs/>
        </w:rPr>
        <w:t xml:space="preserve">Strong rights, failing compliance.</w:t>
      </w:r>
      <w:r>
        <w:t xml:space="preserve"> The GDPR gives individuals the strongest data rights in the world: Article 15 (access, including the logic of automated decisions), Article 17 (erasure), Article 21 (objection — unconditional where data is used for direct marketing), Article 22 (protection against automated decisions), Article 77 (complaint to a supervisory authority) and Article 82 (damages). Compliance is dismal. noyb’s April 2026 study of 121 access requests found only 16.5% answered satisfactorily and roughly 30% ignored entirely. Microsoft’s ad-tech broker Xandr reported a 0% response rate to access and erasure requests in its own transparency report. The EDPB’s 2025 coordinated enforcement action on erasure — 32 authorities, 764 controllers examined, nine formal investigations — found undocumented deletion processes across the board, while erasure complaints are climbing (18.6% of all complaints in the Netherlands in 2024). This is a market failure of exactly the kind middleware monetises: mass demand, strong legal supply, nothing connecting them.</w:t>
      </w:r>
    </w:p>
    <w:p>
      <w:pPr>
        <w:spacing w:after="160" w:line="276" w:lineRule="auto"/>
      </w:pPr>
      <w:r>
        <w:rPr>
          <w:b/>
          <w:bCs/>
        </w:rPr>
        <w:t xml:space="preserve">The Schufa earthquake.</w:t>
      </w:r>
      <w:r>
        <w:t xml:space="preserve"> C-634/21 (7 December 2023) made the score itself an automated decision where lenders rely on it, attaching Article 22 rights — meaningful information about the logic, human intervention, contestation — directly against the bureau. Companion rulings imposed retention discipline: Schufa now deletes insolvency-discharge data after six months. C-203/22 (February 2025) went further: on request, a controller must explain the procedure and principles actually applied — which data, with what weight, and what change would have altered the outcome. In December 2025 the BGH declined to order blanket deletion of settled payment defaults (up to ~3 years’ retention under the industry code of conduct stands) but required case-by-case balancing of individual circumstances — opening a lane for automated, individualised deletion arguments rather than the blanket promises of dubious "Schufa cleanup" firms. Meanwhile Schufa itself is mid-rollout of its new score: 12 published criteria with published weights, one identical score for consumer and creditor, free real-time access via app, an official simulator; roughly a quarter of partner companies had migrated by March 2026, with dual operation until end-2028. The strategic consequence: raw transparency is being commoditised by Schufa itself. The durable consumer value sits in error-hunting, stale-entry deletion, inquiry hygiene, cross-bureau coverage (CRIF, Boniversum) and adverse-decision explanations — which is exactly what the Score Studio module is designed around.</w:t>
      </w:r>
    </w:p>
    <w:p>
      <w:pPr>
        <w:spacing w:after="160" w:line="276" w:lineRule="auto"/>
      </w:pPr>
      <w:r>
        <w:rPr>
          <w:b/>
          <w:bCs/>
        </w:rPr>
        <w:t xml:space="preserve">California proves the mechanism; Europe lacks it.</w:t>
      </w:r>
      <w:r>
        <w:t xml:space="preserve"> Under the Delete Act, brokers had to register with the CPPA (600+ did, at 6,000 dollars a year), the DROP consumer portal went live on 1 January 2026, more than 300,000 consumers queued deletion requests, and from 1 August 2026 every registered broker must pull and process the deletion list at least every 45 days, on pain of 200 dollars per request per day. Registration fines have already been levied (S&amp;P Global, 62,600 dollars). Two lessons follow. Centralised deletion works as UX — one request reaches every registered broker. And free state infrastructure will commoditise the core of the paid US removal market — one more reason to build in Europe, where no DROP exists or is proposed, and where the GDPR can serve as the enforcement engine instead of a state registry. Scraper’s positioning in one line: the DROP Europe never built.</w:t>
      </w:r>
    </w:p>
    <w:p>
      <w:pPr>
        <w:spacing w:after="160" w:line="276" w:lineRule="auto"/>
      </w:pPr>
      <w:r>
        <w:rPr>
          <w:b/>
          <w:bCs/>
        </w:rPr>
        <w:t xml:space="preserve">AI Act tailwind, Omnibus headwind.</w:t>
      </w:r>
      <w:r>
        <w:t xml:space="preserve"> The AI Act classifies creditworthiness assessment and employment screening as high-risk (Annex III). The 2026 Digital Omnibus agreement postponed the high-risk obligations to 2 December 2027, but Article 50 transparency duties apply from 2 August 2026, and Article 86 will grant an explanation right for decisions based on high-risk AI once the regime bites — while GDPR Article 22 rights already work today. The same Omnibus package, however, proposes letting controllers refuse or charge for access requests deemed excessive or made for "non-data-protection purposes" — the one regulatory risk aimed squarely at bulk-DSAR business models. The design answer is baked into the architecture: every request Scraper sends is an individualised exercise of one user’s own rights under an explicit mandate (Vollmacht), documented and user-initiated — a rights agent, not a request cannon.</w:t>
      </w:r>
    </w:p>
    <w:p>
      <w:pPr>
        <w:spacing w:after="160" w:line="276" w:lineRule="auto"/>
      </w:pPr>
      <w:r>
        <w:rPr>
          <w:b/>
          <w:bCs/>
        </w:rPr>
        <w:t xml:space="preserve">Enforcement precedent against the German data trade.</w:t>
      </w:r>
      <w:r>
        <w:t xml:space="preserve"> Austria’s DPA ruled in 2023 that CRIF’s purchase of address-trader data (AZ Direct) for credit scoring violated purpose limitation; Bavaria’s BayLDA opened parallel proceedings against CRIF Bürgel and Acxiom in Germany in 2024, adding Article 14 notification violations. Criteo took a €40M fine in France partly for rights failures. By contrast the UK ICO’s case against Experian’s marketing-data business largely failed on appeal (2024) — enforcement leverage is concentrated in the EU, which reinforces a Germany-first strategy.</w:t>
      </w:r>
    </w:p>
    <w:p>
      <w:pPr>
        <w:pStyle w:val="Heading1"/>
      </w:pPr>
      <w:r>
        <w:t xml:space="preserve">3. The German problem is different</w:t>
      </w:r>
    </w:p>
    <w:p>
      <w:pPr>
        <w:spacing w:after="160" w:line="276" w:lineRule="auto"/>
      </w:pPr>
      <w:r>
        <w:t xml:space="preserve">The American removal industry exists because the US has public people-search websites — Spokeo, Whitepages, BeenVerified — that republish aggregated dossiers for anyone to Google. GDPR and German case law prevented that industry from forming here; German directories (Das Telefonbuch, Das Örtliche, 11880) are opt-in phone books. The German data trade instead has four layers, each demanding a different weapon.</w:t>
      </w:r>
    </w:p>
    <w:p>
      <w:pPr>
        <w:spacing w:after="160" w:line="276" w:lineRule="auto"/>
      </w:pPr>
      <w:r>
        <w:rPr>
          <w:b/>
          <w:bCs/>
        </w:rPr>
        <w:t xml:space="preserve">Credit bureaus (Auskunfteien).</w:t>
      </w:r>
      <w:r>
        <w:t xml:space="preserve"> Schufa, CRIF (62M+ records in Germany) and Creditreform Boniversum hold files on nearly every adult. You cannot "delete yourself" from a bureau; the levers are access, correction, retention enforcement and contestation of automated decisions — which is why Scraper treats bureaus as a dedicated module (Score Studio) rather than a removal target.</w:t>
      </w:r>
    </w:p>
    <w:p>
      <w:pPr>
        <w:spacing w:after="160" w:line="276" w:lineRule="auto"/>
      </w:pPr>
      <w:r>
        <w:rPr>
          <w:b/>
          <w:bCs/>
        </w:rPr>
        <w:t xml:space="preserve">Address traders (Adresshändler).</w:t>
      </w:r>
      <w:r>
        <w:t xml:space="preserve"> Deutsche Post Direkt, AZ Direct (Bertelsmann), Schober and Acxiom Deutschland trade postal and marketing profiles business-to-business. Here the law is at its strongest: the Article 21(2) objection to direct-marketing processing is unconditional — no balancing test — and the CRIF rulings undermine the resale of marketing data for scoring. These are the highest-win-rate erasure targets in Germany, and no US-built service prosecutes them with legally precise German requests.</w:t>
      </w:r>
    </w:p>
    <w:p>
      <w:pPr>
        <w:spacing w:after="160" w:line="276" w:lineRule="auto"/>
      </w:pPr>
      <w:r>
        <w:rPr>
          <w:b/>
          <w:bCs/>
        </w:rPr>
        <w:t xml:space="preserve">Directories and registers.</w:t>
      </w:r>
      <w:r>
        <w:t xml:space="preserve"> Phone books, business registers and price-comparison remnants have established opt-out flows; Google’s EU right-to-be-forgotten delisting handles search visibility. Mechanical, scriptable work.</w:t>
      </w:r>
    </w:p>
    <w:p>
      <w:pPr>
        <w:spacing w:after="160" w:line="276" w:lineRule="auto"/>
      </w:pPr>
      <w:r>
        <w:rPr>
          <w:b/>
          <w:bCs/>
        </w:rPr>
        <w:t xml:space="preserve">Ad-tech and location data.</w:t>
      </w:r>
      <w:r>
        <w:t xml:space="preserve"> The netzpolitik.org/BR "Databroker Files" investigations (2024–2025) obtained 3.6 billion location points from 11 million German device IDs — sold openly through a Berlin marketplace, precise enough to track soldiers and intelligence staff. This layer mostly cannot be reached by name-based requests, because it is keyed to device and advertising IDs. What helps: consent withdrawal, ad-ID resets, and tracker blocking in the browser — which is exactly what the extension contributes. Scraper should say this out loud: we delete what is deletable, block what is blockable, and show you honestly what nobody can currently reach. In a category wounded by over-promising, honesty is a brand asset.</w:t>
      </w:r>
    </w:p>
    <w:p>
      <w:pPr>
        <w:pStyle w:val="Heading1"/>
      </w:pPr>
      <w:r>
        <w:t xml:space="preserve">4. Competitive landscape</w:t>
      </w:r>
    </w:p>
    <w:p>
      <w:pPr>
        <w:pStyle w:val="Heading2"/>
      </w:pPr>
      <w:r>
        <w:t xml:space="preserve">4.1 Removal services</w:t>
      </w:r>
    </w:p>
    <w:p>
      <w:pPr>
        <w:spacing w:after="160" w:line="276" w:lineRule="auto"/>
      </w:pPr>
      <w:r>
        <w:t xml:space="preserve">The category is consolidating fast: Cloaked raised 375M dollars in March 2026 (DuckDuckGo among the investors), McAfee bought Mine’s consumer inbox-scanning business in late 2025, and DeleteMe acquired Consumer Reports’ Permission Slip in July 2026 after the nonprofit concluded it could not sustain the app. Money and users are flowing into the space — almost none of it into Europe.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2550"/>
        <w:gridCol w:w="3946"/>
      </w:tblGrid>
      <w:tr>
        <w:trPr>
          <w:cantSplit/>
          <w:tblHeader/>
        </w:trPr>
        <w:tc>
          <w:tcPr>
            <w:tcW w:type="dxa" w:w="175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Service</w:t>
            </w:r>
          </w:p>
        </w:tc>
        <w:tc>
          <w:tcPr>
            <w:tcW w:type="dxa" w:w="150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Germany/EU?</w:t>
            </w:r>
          </w:p>
        </w:tc>
        <w:tc>
          <w:tcPr>
            <w:tcW w:type="dxa" w:w="255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Model &amp; price</w:t>
            </w:r>
          </w:p>
        </w:tc>
        <w:tc>
          <w:tcPr>
            <w:tcW w:type="dxa" w:w="3946"/>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Notes and weaknesses</w:t>
            </w:r>
          </w:p>
        </w:tc>
      </w:tr>
      <w:tr>
        <w:trPr>
          <w:cantSplit/>
        </w:trPr>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DeleteMe (US)</w:t>
            </w:r>
          </w:p>
        </w:tc>
        <w:tc>
          <w:tcPr>
            <w:tcW w:type="dxa" w:w="1500"/>
            <w:tcMar>
              <w:top w:type="dxa" w:w="70"/>
              <w:left w:type="dxa" w:w="100"/>
              <w:bottom w:type="dxa" w:w="70"/>
              <w:right w:type="dxa" w:w="100"/>
            </w:tcMar>
            <w:vAlign w:val="center"/>
          </w:tcPr>
          <w:p>
            <w:pPr>
              <w:spacing w:after="0" w:line="250" w:lineRule="auto"/>
            </w:pPr>
            <w:r>
              <w:rPr>
                <w:b w:val="false"/>
                <w:bCs w:val="false"/>
                <w:sz w:val="16"/>
                <w:szCs w:val="16"/>
              </w:rPr>
              <w:t xml:space="preserve">Bespoke only</w:t>
            </w:r>
          </w:p>
        </w:tc>
        <w:tc>
          <w:tcPr>
            <w:tcW w:type="dxa" w:w="2550"/>
            <w:tcMar>
              <w:top w:type="dxa" w:w="70"/>
              <w:left w:type="dxa" w:w="100"/>
              <w:bottom w:type="dxa" w:w="70"/>
              <w:right w:type="dxa" w:w="100"/>
            </w:tcMar>
            <w:vAlign w:val="center"/>
          </w:tcPr>
          <w:p>
            <w:pPr>
              <w:spacing w:after="0" w:line="250" w:lineRule="auto"/>
            </w:pPr>
            <w:r>
              <w:rPr>
                <w:b w:val="false"/>
                <w:bCs w:val="false"/>
                <w:sz w:val="16"/>
                <w:szCs w:val="16"/>
              </w:rPr>
              <w:t xml:space="preserve">Human-assisted, 750+ US brokers, ~129 USD/yr</w:t>
            </w:r>
          </w:p>
        </w:tc>
        <w:tc>
          <w:tcPr>
            <w:tcW w:type="dxa" w:w="3946"/>
            <w:tcMar>
              <w:top w:type="dxa" w:w="70"/>
              <w:left w:type="dxa" w:w="100"/>
              <w:bottom w:type="dxa" w:w="70"/>
              <w:right w:type="dxa" w:w="100"/>
            </w:tcMar>
            <w:vAlign w:val="center"/>
          </w:tcPr>
          <w:p>
            <w:pPr>
              <w:spacing w:after="0" w:line="250" w:lineRule="auto"/>
            </w:pPr>
            <w:r>
              <w:rPr>
                <w:b w:val="false"/>
                <w:bCs w:val="false"/>
                <w:sz w:val="16"/>
                <w:szCs w:val="16"/>
              </w:rPr>
              <w:t xml:space="preserve">Category pioneer; bought Permission Slip (Jul 2026). Consumer Reports measured just 27% of profiles removed at 4 months. No productised German offering — German tech press found removals priced individually "on request."</w:t>
            </w:r>
          </w:p>
        </w:tc>
      </w:tr>
      <w:tr>
        <w:trPr>
          <w:cantSplit/>
        </w:trPr>
        <w:tc>
          <w:tcPr>
            <w:tcW w:type="dxa" w:w="17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Incogni (Surfshark/Nord)</w:t>
            </w:r>
          </w:p>
        </w:tc>
        <w:tc>
          <w:tcPr>
            <w:tcW w:type="dxa" w:w="150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Yes — only scaled option</w:t>
            </w:r>
          </w:p>
        </w:tc>
        <w:tc>
          <w:tcPr>
            <w:tcW w:type="dxa" w:w="25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Automated GDPR/CCPA requests to 420+ brokers; ≈€7/mo</w:t>
            </w:r>
          </w:p>
        </w:tc>
        <w:tc>
          <w:tcPr>
            <w:tcW w:type="dxa" w:w="394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Covers EEA incl. Germany; Deloitte-attested 245M+ requests. German reviewers criticise opaque verification and missed niche German brokers. The incumbent to beat — and the proof the EU price point works.</w:t>
            </w:r>
          </w:p>
        </w:tc>
      </w:tr>
      <w:tr>
        <w:trPr>
          <w:cantSplit/>
        </w:trPr>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Optery (US)</w:t>
            </w:r>
          </w:p>
        </w:tc>
        <w:tc>
          <w:tcPr>
            <w:tcW w:type="dxa" w:w="1500"/>
            <w:tcMar>
              <w:top w:type="dxa" w:w="70"/>
              <w:left w:type="dxa" w:w="100"/>
              <w:bottom w:type="dxa" w:w="70"/>
              <w:right w:type="dxa" w:w="100"/>
            </w:tcMar>
            <w:vAlign w:val="center"/>
          </w:tcPr>
          <w:p>
            <w:pPr>
              <w:spacing w:after="0" w:line="250" w:lineRule="auto"/>
            </w:pPr>
            <w:r>
              <w:rPr>
                <w:b w:val="false"/>
                <w:bCs w:val="false"/>
                <w:sz w:val="16"/>
                <w:szCs w:val="16"/>
              </w:rPr>
              <w:t xml:space="preserve">No</w:t>
            </w:r>
          </w:p>
        </w:tc>
        <w:tc>
          <w:tcPr>
            <w:tcW w:type="dxa" w:w="2550"/>
            <w:tcMar>
              <w:top w:type="dxa" w:w="70"/>
              <w:left w:type="dxa" w:w="100"/>
              <w:bottom w:type="dxa" w:w="70"/>
              <w:right w:type="dxa" w:w="100"/>
            </w:tcMar>
            <w:vAlign w:val="center"/>
          </w:tcPr>
          <w:p>
            <w:pPr>
              <w:spacing w:after="0" w:line="250" w:lineRule="auto"/>
            </w:pPr>
            <w:r>
              <w:rPr>
                <w:b w:val="false"/>
                <w:bCs w:val="false"/>
                <w:sz w:val="16"/>
                <w:szCs w:val="16"/>
              </w:rPr>
              <w:t xml:space="preserve">Form/API automation + screenshot proof; 2–25 USD/mo</w:t>
            </w:r>
          </w:p>
        </w:tc>
        <w:tc>
          <w:tcPr>
            <w:tcW w:type="dxa" w:w="3946"/>
            <w:tcMar>
              <w:top w:type="dxa" w:w="70"/>
              <w:left w:type="dxa" w:w="100"/>
              <w:bottom w:type="dxa" w:w="70"/>
              <w:right w:type="dxa" w:w="100"/>
            </w:tcMar>
            <w:vAlign w:val="center"/>
          </w:tcPr>
          <w:p>
            <w:pPr>
              <w:spacing w:after="0" w:line="250" w:lineRule="auto"/>
            </w:pPr>
            <w:r>
              <w:rPr>
                <w:b w:val="false"/>
                <w:bCs w:val="false"/>
                <w:sz w:val="16"/>
                <w:szCs w:val="16"/>
              </w:rPr>
              <w:t xml:space="preserve">Best measured performer (68% at 4 months, CR 2024). US/CA/AU/NZ/ZA only. Screenshot evidence is the trust pattern worth copying.</w:t>
            </w:r>
          </w:p>
        </w:tc>
      </w:tr>
      <w:tr>
        <w:trPr>
          <w:cantSplit/>
        </w:trPr>
        <w:tc>
          <w:tcPr>
            <w:tcW w:type="dxa" w:w="17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EasyOptOuts (US)</w:t>
            </w:r>
          </w:p>
        </w:tc>
        <w:tc>
          <w:tcPr>
            <w:tcW w:type="dxa" w:w="150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No</w:t>
            </w:r>
          </w:p>
        </w:tc>
        <w:tc>
          <w:tcPr>
            <w:tcW w:type="dxa" w:w="25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Fully automated; 19.99 USD/yr</w:t>
            </w:r>
          </w:p>
        </w:tc>
        <w:tc>
          <w:tcPr>
            <w:tcW w:type="dxa" w:w="394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65% at 4 months (CR); 80–90% of Google-visible exposures in an independent test. Shows lean automation can beat humans on cost and match them on results.</w:t>
            </w:r>
          </w:p>
        </w:tc>
      </w:tr>
      <w:tr>
        <w:trPr>
          <w:cantSplit/>
        </w:trPr>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Cloaked (US)</w:t>
            </w:r>
          </w:p>
        </w:tc>
        <w:tc>
          <w:tcPr>
            <w:tcW w:type="dxa" w:w="1500"/>
            <w:tcMar>
              <w:top w:type="dxa" w:w="70"/>
              <w:left w:type="dxa" w:w="100"/>
              <w:bottom w:type="dxa" w:w="70"/>
              <w:right w:type="dxa" w:w="100"/>
            </w:tcMar>
            <w:vAlign w:val="center"/>
          </w:tcPr>
          <w:p>
            <w:pPr>
              <w:spacing w:after="0" w:line="250" w:lineRule="auto"/>
            </w:pPr>
            <w:r>
              <w:rPr>
                <w:b w:val="false"/>
                <w:bCs w:val="false"/>
                <w:sz w:val="16"/>
                <w:szCs w:val="16"/>
              </w:rPr>
              <w:t xml:space="preserve">No</w:t>
            </w:r>
          </w:p>
        </w:tc>
        <w:tc>
          <w:tcPr>
            <w:tcW w:type="dxa" w:w="2550"/>
            <w:tcMar>
              <w:top w:type="dxa" w:w="70"/>
              <w:left w:type="dxa" w:w="100"/>
              <w:bottom w:type="dxa" w:w="70"/>
              <w:right w:type="dxa" w:w="100"/>
            </w:tcMar>
            <w:vAlign w:val="center"/>
          </w:tcPr>
          <w:p>
            <w:pPr>
              <w:spacing w:after="0" w:line="250" w:lineRule="auto"/>
            </w:pPr>
            <w:r>
              <w:rPr>
                <w:b w:val="false"/>
                <w:bCs w:val="false"/>
                <w:sz w:val="16"/>
                <w:szCs w:val="16"/>
              </w:rPr>
              <w:t xml:space="preserve">Aliases + removal + AI call screening; subscription</w:t>
            </w:r>
          </w:p>
        </w:tc>
        <w:tc>
          <w:tcPr>
            <w:tcW w:type="dxa" w:w="3946"/>
            <w:tcMar>
              <w:top w:type="dxa" w:w="70"/>
              <w:left w:type="dxa" w:w="100"/>
              <w:bottom w:type="dxa" w:w="70"/>
              <w:right w:type="dxa" w:w="100"/>
            </w:tcMar>
            <w:vAlign w:val="center"/>
          </w:tcPr>
          <w:p>
            <w:pPr>
              <w:spacing w:after="0" w:line="250" w:lineRule="auto"/>
            </w:pPr>
            <w:r>
              <w:rPr>
                <w:b w:val="false"/>
                <w:bCs w:val="false"/>
                <w:sz w:val="16"/>
                <w:szCs w:val="16"/>
              </w:rPr>
              <w:t xml:space="preserve">375M USD raised Mar 2026; 350k paying users. The template for "identity firewall" bundling — US-centric, no EU broker coverage.</w:t>
            </w:r>
          </w:p>
        </w:tc>
      </w:tr>
      <w:tr>
        <w:trPr>
          <w:cantSplit/>
        </w:trPr>
        <w:tc>
          <w:tcPr>
            <w:tcW w:type="dxa" w:w="17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Privacy Bee / Kanary (US)</w:t>
            </w:r>
          </w:p>
        </w:tc>
        <w:tc>
          <w:tcPr>
            <w:tcW w:type="dxa" w:w="150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Claimed / partial</w:t>
            </w:r>
          </w:p>
        </w:tc>
        <w:tc>
          <w:tcPr>
            <w:tcW w:type="dxa" w:w="25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8+ USD/mo; 250–500 USD/yr</w:t>
            </w:r>
          </w:p>
        </w:tc>
        <w:tc>
          <w:tcPr>
            <w:tcW w:type="dxa" w:w="394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Privacy Bee claims global GDPR coverage, unproven in Germany. Kanary repositioned upmarket as "attack surface management for people."</w:t>
            </w:r>
          </w:p>
        </w:tc>
      </w:tr>
      <w:tr>
        <w:trPr>
          <w:cantSplit/>
        </w:trPr>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McAfee (ex-Mine)</w:t>
            </w:r>
          </w:p>
        </w:tc>
        <w:tc>
          <w:tcPr>
            <w:tcW w:type="dxa" w:w="1500"/>
            <w:tcMar>
              <w:top w:type="dxa" w:w="70"/>
              <w:left w:type="dxa" w:w="100"/>
              <w:bottom w:type="dxa" w:w="70"/>
              <w:right w:type="dxa" w:w="100"/>
            </w:tcMar>
            <w:vAlign w:val="center"/>
          </w:tcPr>
          <w:p>
            <w:pPr>
              <w:spacing w:after="0" w:line="250" w:lineRule="auto"/>
            </w:pPr>
            <w:r>
              <w:rPr>
                <w:b w:val="false"/>
                <w:bCs w:val="false"/>
                <w:sz w:val="16"/>
                <w:szCs w:val="16"/>
              </w:rPr>
              <w:t xml:space="preserve">Unclear post-acquisition</w:t>
            </w:r>
          </w:p>
        </w:tc>
        <w:tc>
          <w:tcPr>
            <w:tcW w:type="dxa" w:w="2550"/>
            <w:tcMar>
              <w:top w:type="dxa" w:w="70"/>
              <w:left w:type="dxa" w:w="100"/>
              <w:bottom w:type="dxa" w:w="70"/>
              <w:right w:type="dxa" w:w="100"/>
            </w:tcMar>
            <w:vAlign w:val="center"/>
          </w:tcPr>
          <w:p>
            <w:pPr>
              <w:spacing w:after="0" w:line="250" w:lineRule="auto"/>
            </w:pPr>
            <w:r>
              <w:rPr>
                <w:b w:val="false"/>
                <w:bCs w:val="false"/>
                <w:sz w:val="16"/>
                <w:szCs w:val="16"/>
              </w:rPr>
              <w:t xml:space="preserve">Inbox-scan discovery + cleanup, bundled</w:t>
            </w:r>
          </w:p>
        </w:tc>
        <w:tc>
          <w:tcPr>
            <w:tcW w:type="dxa" w:w="3946"/>
            <w:tcMar>
              <w:top w:type="dxa" w:w="70"/>
              <w:left w:type="dxa" w:w="100"/>
              <w:bottom w:type="dxa" w:w="70"/>
              <w:right w:type="dxa" w:w="100"/>
            </w:tcMar>
            <w:vAlign w:val="center"/>
          </w:tcPr>
          <w:p>
            <w:pPr>
              <w:spacing w:after="0" w:line="250" w:lineRule="auto"/>
            </w:pPr>
            <w:r>
              <w:rPr>
                <w:b w:val="false"/>
                <w:bCs w:val="false"/>
                <w:sz w:val="16"/>
                <w:szCs w:val="16"/>
              </w:rPr>
              <w:t xml:space="preserve">Mine pioneered "who has my data" via email scanning, worked for EU users; consumer product’s EU future uncertain inside McAfee — a vacated niche.</w:t>
            </w:r>
          </w:p>
        </w:tc>
      </w:tr>
      <w:tr>
        <w:trPr>
          <w:cantSplit/>
        </w:trPr>
        <w:tc>
          <w:tcPr>
            <w:tcW w:type="dxa" w:w="17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Mozilla Monitor Plus</w:t>
            </w:r>
          </w:p>
        </w:tc>
        <w:tc>
          <w:tcPr>
            <w:tcW w:type="dxa" w:w="150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Discontinued</w:t>
            </w:r>
          </w:p>
        </w:tc>
        <w:tc>
          <w:tcPr>
            <w:tcW w:type="dxa" w:w="25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Was: subscription removal via Onerep</w:t>
            </w:r>
          </w:p>
        </w:tc>
        <w:tc>
          <w:tcPr>
            <w:tcW w:type="dxa" w:w="394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Shut down Dec 2025 after Krebs revealed Onerep’s founder also ran people-search sites. The category’s defining trust scandal.</w:t>
            </w:r>
          </w:p>
        </w:tc>
      </w:tr>
      <w:tr>
        <w:trPr>
          <w:cantSplit/>
        </w:trPr>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Google "Results about you"</w:t>
            </w:r>
          </w:p>
        </w:tc>
        <w:tc>
          <w:tcPr>
            <w:tcW w:type="dxa" w:w="1500"/>
            <w:tcMar>
              <w:top w:type="dxa" w:w="70"/>
              <w:left w:type="dxa" w:w="100"/>
              <w:bottom w:type="dxa" w:w="70"/>
              <w:right w:type="dxa" w:w="100"/>
            </w:tcMar>
            <w:vAlign w:val="center"/>
          </w:tcPr>
          <w:p>
            <w:pPr>
              <w:spacing w:after="0" w:line="250" w:lineRule="auto"/>
            </w:pPr>
            <w:r>
              <w:rPr>
                <w:b w:val="false"/>
                <w:bCs w:val="false"/>
                <w:sz w:val="16"/>
                <w:szCs w:val="16"/>
              </w:rPr>
              <w:t xml:space="preserve">US-first</w:t>
            </w:r>
          </w:p>
        </w:tc>
        <w:tc>
          <w:tcPr>
            <w:tcW w:type="dxa" w:w="2550"/>
            <w:tcMar>
              <w:top w:type="dxa" w:w="70"/>
              <w:left w:type="dxa" w:w="100"/>
              <w:bottom w:type="dxa" w:w="70"/>
              <w:right w:type="dxa" w:w="100"/>
            </w:tcMar>
            <w:vAlign w:val="center"/>
          </w:tcPr>
          <w:p>
            <w:pPr>
              <w:spacing w:after="0" w:line="250" w:lineRule="auto"/>
            </w:pPr>
            <w:r>
              <w:rPr>
                <w:b w:val="false"/>
                <w:bCs w:val="false"/>
                <w:sz w:val="16"/>
                <w:szCs w:val="16"/>
              </w:rPr>
              <w:t xml:space="preserve">Free search-results removal</w:t>
            </w:r>
          </w:p>
        </w:tc>
        <w:tc>
          <w:tcPr>
            <w:tcW w:type="dxa" w:w="3946"/>
            <w:tcMar>
              <w:top w:type="dxa" w:w="70"/>
              <w:left w:type="dxa" w:w="100"/>
              <w:bottom w:type="dxa" w:w="70"/>
              <w:right w:type="dxa" w:w="100"/>
            </w:tcMar>
            <w:vAlign w:val="center"/>
          </w:tcPr>
          <w:p>
            <w:pPr>
              <w:spacing w:after="0" w:line="250" w:lineRule="auto"/>
            </w:pPr>
            <w:r>
              <w:rPr>
                <w:b w:val="false"/>
                <w:bCs w:val="false"/>
                <w:sz w:val="16"/>
                <w:szCs w:val="16"/>
              </w:rPr>
              <w:t xml:space="preserve">Handles Google visibility only, not source sites; EU users rely on the older RTBF delisting form.</w:t>
            </w:r>
          </w:p>
        </w:tc>
      </w:tr>
      <w:tr>
        <w:trPr>
          <w:cantSplit/>
        </w:trPr>
        <w:tc>
          <w:tcPr>
            <w:tcW w:type="dxa" w:w="17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Datenputzer (DE)</w:t>
            </w:r>
          </w:p>
        </w:tc>
        <w:tc>
          <w:tcPr>
            <w:tcW w:type="dxa" w:w="150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Yes — native</w:t>
            </w:r>
          </w:p>
        </w:tc>
        <w:tc>
          <w:tcPr>
            <w:tcW w:type="dxa" w:w="25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€5–7/mo</w:t>
            </w:r>
          </w:p>
        </w:tc>
        <w:tc>
          <w:tcPr>
            <w:tcW w:type="dxa" w:w="394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Only German-native startup found. Targets Schufa, CRIF, Boniversum, Post Direkt, AZ Direct, Acxiom with German-language legal requests. Tiny and unproven — but validates the thesis and the price.</w:t>
            </w:r>
          </w:p>
        </w:tc>
      </w:tr>
      <w:tr>
        <w:trPr>
          <w:cantSplit/>
        </w:trPr>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datenanfragen.de (DE)</w:t>
            </w:r>
          </w:p>
        </w:tc>
        <w:tc>
          <w:tcPr>
            <w:tcW w:type="dxa" w:w="1500"/>
            <w:tcMar>
              <w:top w:type="dxa" w:w="70"/>
              <w:left w:type="dxa" w:w="100"/>
              <w:bottom w:type="dxa" w:w="70"/>
              <w:right w:type="dxa" w:w="100"/>
            </w:tcMar>
            <w:vAlign w:val="center"/>
          </w:tcPr>
          <w:p>
            <w:pPr>
              <w:spacing w:after="0" w:line="250" w:lineRule="auto"/>
            </w:pPr>
            <w:r>
              <w:rPr>
                <w:b w:val="false"/>
                <w:bCs w:val="false"/>
                <w:sz w:val="16"/>
                <w:szCs w:val="16"/>
              </w:rPr>
              <w:t xml:space="preserve">Yes — nonprofit</w:t>
            </w:r>
          </w:p>
        </w:tc>
        <w:tc>
          <w:tcPr>
            <w:tcW w:type="dxa" w:w="2550"/>
            <w:tcMar>
              <w:top w:type="dxa" w:w="70"/>
              <w:left w:type="dxa" w:w="100"/>
              <w:bottom w:type="dxa" w:w="70"/>
              <w:right w:type="dxa" w:w="100"/>
            </w:tcMar>
            <w:vAlign w:val="center"/>
          </w:tcPr>
          <w:p>
            <w:pPr>
              <w:spacing w:after="0" w:line="250" w:lineRule="auto"/>
            </w:pPr>
            <w:r>
              <w:rPr>
                <w:b w:val="false"/>
                <w:bCs w:val="false"/>
                <w:sz w:val="16"/>
                <w:szCs w:val="16"/>
              </w:rPr>
              <w:t xml:space="preserve">Free template generator</w:t>
            </w:r>
          </w:p>
        </w:tc>
        <w:tc>
          <w:tcPr>
            <w:tcW w:type="dxa" w:w="3946"/>
            <w:tcMar>
              <w:top w:type="dxa" w:w="70"/>
              <w:left w:type="dxa" w:w="100"/>
              <w:bottom w:type="dxa" w:w="70"/>
              <w:right w:type="dxa" w:w="100"/>
            </w:tcMar>
            <w:vAlign w:val="center"/>
          </w:tcPr>
          <w:p>
            <w:pPr>
              <w:spacing w:after="0" w:line="250" w:lineRule="auto"/>
            </w:pPr>
            <w:r>
              <w:rPr>
                <w:b w:val="false"/>
                <w:bCs w:val="false"/>
                <w:sz w:val="16"/>
                <w:szCs w:val="16"/>
              </w:rPr>
              <w:t xml:space="preserve">Respected infrastructure, manual workflow, no automation, monitoring or escalation. A partner or inspiration, not a competitor.</w:t>
            </w:r>
          </w:p>
        </w:tc>
      </w:tr>
      <w:tr>
        <w:trPr>
          <w:cantSplit/>
        </w:trPr>
        <w:tc>
          <w:tcPr>
            <w:tcW w:type="dxa" w:w="17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GhostMyData / EraseMe (UK)</w:t>
            </w:r>
          </w:p>
        </w:tc>
        <w:tc>
          <w:tcPr>
            <w:tcW w:type="dxa" w:w="150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UK</w:t>
            </w:r>
          </w:p>
        </w:tc>
        <w:tc>
          <w:tcPr>
            <w:tcW w:type="dxa" w:w="25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£13.99/mo (EraseMe), 230+ brokers</w:t>
            </w:r>
          </w:p>
        </w:tc>
        <w:tc>
          <w:tcPr>
            <w:tcW w:type="dxa" w:w="394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New UK GDPR-based entrants since 2024; effectiveness unverified.</w:t>
            </w:r>
          </w:p>
        </w:tc>
      </w:tr>
      <w:tr>
        <w:trPr>
          <w:cantSplit/>
        </w:trPr>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Selbstauskunft.net (DE)</w:t>
            </w:r>
          </w:p>
        </w:tc>
        <w:tc>
          <w:tcPr>
            <w:tcW w:type="dxa" w:w="1500"/>
            <w:tcMar>
              <w:top w:type="dxa" w:w="70"/>
              <w:left w:type="dxa" w:w="100"/>
              <w:bottom w:type="dxa" w:w="70"/>
              <w:right w:type="dxa" w:w="100"/>
            </w:tcMar>
            <w:vAlign w:val="center"/>
          </w:tcPr>
          <w:p>
            <w:pPr>
              <w:spacing w:after="0" w:line="250" w:lineRule="auto"/>
            </w:pPr>
            <w:r>
              <w:rPr>
                <w:b w:val="false"/>
                <w:bCs w:val="false"/>
                <w:sz w:val="16"/>
                <w:szCs w:val="16"/>
              </w:rPr>
              <w:t xml:space="preserve">Shut down</w:t>
            </w:r>
          </w:p>
        </w:tc>
        <w:tc>
          <w:tcPr>
            <w:tcW w:type="dxa" w:w="2550"/>
            <w:tcMar>
              <w:top w:type="dxa" w:w="70"/>
              <w:left w:type="dxa" w:w="100"/>
              <w:bottom w:type="dxa" w:w="70"/>
              <w:right w:type="dxa" w:w="100"/>
            </w:tcMar>
            <w:vAlign w:val="center"/>
          </w:tcPr>
          <w:p>
            <w:pPr>
              <w:spacing w:after="0" w:line="250" w:lineRule="auto"/>
            </w:pPr>
            <w:r>
              <w:rPr>
                <w:b w:val="false"/>
                <w:bCs w:val="false"/>
                <w:sz w:val="16"/>
                <w:szCs w:val="16"/>
              </w:rPr>
              <w:t xml:space="preserve">Was: free self-disclosure portal</w:t>
            </w:r>
          </w:p>
        </w:tc>
        <w:tc>
          <w:tcPr>
            <w:tcW w:type="dxa" w:w="3946"/>
            <w:tcMar>
              <w:top w:type="dxa" w:w="70"/>
              <w:left w:type="dxa" w:w="100"/>
              <w:bottom w:type="dxa" w:w="70"/>
              <w:right w:type="dxa" w:w="100"/>
            </w:tcMar>
            <w:vAlign w:val="center"/>
          </w:tcPr>
          <w:p>
            <w:pPr>
              <w:spacing w:after="0" w:line="250" w:lineRule="auto"/>
            </w:pPr>
            <w:r>
              <w:rPr>
                <w:b w:val="false"/>
                <w:bCs w:val="false"/>
                <w:sz w:val="16"/>
                <w:szCs w:val="16"/>
              </w:rPr>
              <w:t xml:space="preserve">The main free German tool is gone as of 2026 — a visible hole in German consumer infrastructure.</w:t>
            </w:r>
          </w:p>
        </w:tc>
      </w:tr>
    </w:tbl>
    <w:p>
      <w:pPr>
        <w:pStyle w:val="Heading2"/>
      </w:pPr>
      <w:r>
        <w:t xml:space="preserve">4.2 Browser extensions and site-risk raters</w:t>
      </w:r>
    </w:p>
    <w:p>
      <w:pPr>
        <w:spacing w:after="160" w:line="276" w:lineRule="auto"/>
      </w:pPr>
      <w:r>
        <w:t xml:space="preserve">The blocking layer is crowded but the judgment layer is empty. Ghostery (which operates the WhoTracks.me tracker census) and Privacy Badger survived the Manifest V3 transition; uBlock Origin is dead on Chrome and alive on Firefox; DuckDuckGo maintains its Privacy Essentials; Consent-O-Matic (Aarhus University) auto-answers cookie banners with the user’s preferences. But nothing mainstream tells a user, in the moment, "this site is a data-protection hazard and here is what to do about it." ToS;DR grades terms of service through a small volunteer community — coverage is broad but many reviews are years stale; PrivacySpy is dormant; The Markup’s Blacklight is a respected scanner but a web tool, not an extension. There is no maintained extension assigning live per-site privacy-risk scores. That vacuum is the acquisition wedge.</w:t>
      </w:r>
    </w:p>
    <w:p>
      <w:pPr>
        <w:pStyle w:val="Heading2"/>
      </w:pPr>
      <w:r>
        <w:t xml:space="preserve">4.3 "Who has my data" visibility tools</w:t>
      </w:r>
    </w:p>
    <w:p>
      <w:pPr>
        <w:spacing w:after="160" w:line="276" w:lineRule="auto"/>
      </w:pPr>
      <w:r>
        <w:t xml:space="preserve">Have I Been Pwned relaunched in 2025 with ~15 billion breached accounts and remains the canonical breach-attribution source; its API is licensable (the Pro tier, from 379 USD/mo, explicitly covers serving one’s own customers). Email aliasing is mature — SimpleLogin (Proton), addy.io and Firefox Relay all offer programmatic APIs, and addy.io even markets "find out who sold your data" as a use case. But nobody closes the loop: no consumer product systematically issues per-service canaries, monitors where they surface, and converts hits into attribution reports and legal action. Privacy.com-style virtual cards for payment privacy remain US-only; in the EU they exist only as bank features (Revolut’s disposable cards). Mine’s inbox-scanning discovery is now buried inside McAfee. Attribution — receipts — is an open field.</w:t>
      </w:r>
    </w:p>
    <w:p>
      <w:pPr>
        <w:pStyle w:val="Heading2"/>
      </w:pPr>
      <w:r>
        <w:t xml:space="preserve">4.4 What the effectiveness evidence shows</w:t>
      </w:r>
    </w:p>
    <w:p>
      <w:pPr>
        <w:spacing w:after="160" w:line="276" w:lineRule="auto"/>
      </w:pPr>
      <w:r>
        <w:t xml:space="preserve">Consumer Reports’ "Data Defense" study (August 2024) remains the only rigorous benchmark: across 28 participants, seven services and 13 people-search sites, paid services removed just 35% of identified profiles within four months — while volunteers doing manual opt-outs removed 70% within one week. Spread was huge: Optery 68%, EasyOptOuts 65%, DeleteMe 27%, ReputationDefender 6%. An independent Privacy Guides test (2025) confirmed EasyOptOuts removes 80–90% of Google-visible exposures. German editorial tests of Incogni echo the pattern: real removals, opaque verification, niche brokers missed, and data that reappears — every reviewer notes re-listing, which is also why the subscription model is structurally honest. Layer the Onerep scandal on top and the strategic read is clear: the category’s scarcest assets are verified results and trust. A newcomer that publishes per-broker verification rates, ships screenshot-and-hash evidence, and escalates non-compliance to regulators attacks the incumbents exactly where the data says they are weak.</w:t>
      </w:r>
    </w:p>
    <w:p>
      <w:pPr>
        <w:pStyle w:val="Heading1"/>
      </w:pPr>
      <w:r>
        <w:t xml:space="preserve">5. What moves a Schufa score — and what does not</w:t>
      </w:r>
    </w:p>
    <w:p>
      <w:pPr>
        <w:spacing w:after="160" w:line="276" w:lineRule="auto"/>
      </w:pPr>
      <w:r>
        <w:t xml:space="preserve">The founding assumption of this business — that countering web scraping protects a consumer’s creditworthiness — was tested against the evidence and failed cleanly. The new Schufa score, rolling out since March 2026, is computed from </w:t>
      </w:r>
      <w:r>
        <w:rPr>
          <w:b/>
          <w:bCs/>
        </w:rPr>
        <w:t xml:space="preserve">twelve published criteria with published weights</w:t>
      </w:r>
      <w:r>
        <w:t xml:space="preserve">, every one of them credit-contract data: payment defaults carry the most weight (264 of 999 points), then credit inquiries and new accounts in the last twelve months (117), inquiries outside banking (99), time at current address (94), age of the oldest credit card (81), age of the oldest bank relationship (69), down to whether an identity verification has ever been completed (38). Nothing about web presence, social media, purchased marketing data or online behaviour appears anywhere. Schufa says so itself — "Wir nutzen auch keine Daten aus sozialen Netzwerken" — a line it has held since 2012, when the leaked SCHUFALab@HPI project (mining Facebook, Twitter and Street View for creditworthiness signals) collapsed within days of exposure. Neighbourhood data (Wohngegend) is used in roughly 0.3% of transmitted scores, and only as a fallback when Schufa holds no financial data on the person at all. A browser tool that blocks scrapers therefore cannot move a Schufa score, and marketing one that way would be both false and a UWG liability.</w:t>
      </w:r>
    </w:p>
    <w:p>
      <w:pPr>
        <w:spacing w:after="160" w:line="276" w:lineRule="auto"/>
      </w:pPr>
      <w:r>
        <w:rPr>
          <w:b/>
          <w:bCs/>
        </w:rPr>
        <w:t xml:space="preserve">The reverse risk is real: privacy hygiene can lower the score.</w:t>
      </w:r>
      <w:r>
        <w:t xml:space="preserve"> Roughly two fifths of the available points reward duration and possession — the oldest bank contract, the oldest card, address constancy, mortgage status. Someone who minimises their financial footprint, moves house, switches banks or is new to Germany forfeits points without ever missing a payment; and the thinnest files are exactly the ones scored on their postcode. One layer further out, the fraud-scoring systems that decide whether a German shopper may pay by invoice treat privacy-protective behaviour as a risk signal: vendor documentation states outright that "a near-empty footprint is one of the more telling warning signs" and that an email address with no breach history "is often either freshly created for fraud or belongs to a very new user"; masked-email domains are actively blocked by merchants, and a peer-reviewed study on German e-commerce data found digital-footprint signals (email provider, device type, arrival channel) predict default about as well as a bureau score. Consequence for the product: alias-first prevention stays — but it ships with an honest, visible caveat that aliases can cause checkout declines, and it is never sold as score protection.</w:t>
      </w:r>
    </w:p>
    <w:p>
      <w:pPr>
        <w:spacing w:after="160" w:line="276" w:lineRule="auto"/>
      </w:pPr>
      <w:r>
        <w:rPr>
          <w:b/>
          <w:bCs/>
        </w:rPr>
        <w:t xml:space="preserve">The channel that genuinely connects exposed data to a wrecked score is identity fraud.</w:t>
      </w:r>
      <w:r>
        <w:t xml:space="preserve"> Leaked or brokered identity data lets a fraudster order goods on invoice, sign a mobile contract, or push a loan through manipulated video identification in the victim’s name; the unpaid claim becomes a collections case and lands as a negative entry — the heaviest criterion in the score — on the victim’s file. The scale is documented: Schufa’s own 2026 survey puts German consumer fraud damage around €10bn for 2025, with 44% of identity-theft victims losing €1,000–10,000; police statistics record ~96,000 cases of fraud with illegally obtained payment data in 2025 with a clearance rate near 21%. Two facts make this a product opportunity rather than merely a horror story. First, </w:t>
      </w:r>
      <w:r>
        <w:rPr>
          <w:b/>
          <w:bCs/>
        </w:rPr>
        <w:t xml:space="preserve">only 9% of victims notify Schufa</w:t>
      </w:r>
      <w:r>
        <w:t xml:space="preserve">, although a dedicated victim process exists (the Identitätsbetrug-Einmeldung, which sets a marker without affecting the score) — the remedies exist and go unused for lack of guidance. Second, the December 2025 BGH ruling means a fraud-caused entry, once settled, is removed through case-by-case argument rather than automatically — precisely the kind of documented, deadline-driven paperwork software does better than distressed humans.</w:t>
      </w:r>
    </w:p>
    <w:p>
      <w:pPr>
        <w:spacing w:after="160" w:line="276" w:lineRule="auto"/>
      </w:pPr>
      <w:r>
        <w:rPr>
          <w:b/>
          <w:bCs/>
        </w:rPr>
        <w:t xml:space="preserve">And while Schufa abstains from broker data, other German bureaus do not.</w:t>
      </w:r>
      <w:r>
        <w:t xml:space="preserve"> infoscore Consumer Data GmbH — Experian’s German consumer bureau — states in its current Article 14 notice that its address data comes from AZ Direct GmbH, Bertelsmann’s address-trading arm, and that its score uses "Daten zur Adresse (z. B. wie viele Personen dort gemeldet sind oder ob es in der Umgebung Zahlungsausfälle gab)" — how many people are registered at the address, and whether payment defaults occurred in the neighbourhood. Boniversum’s pre-merger notice named Adressdaten as a scoring input; CRIF’s did too before it quietly dropped all broker sources in February 2025. The Bundeskartellamt’s 2024 sector inquiry into scoring at 45 online retailers found address, location, age and moving frequency in live use, buried disclosures, and data-minimisation breaches — and recommended statutory protection against scoring based on residential area. The German data-protection authorities’ own position (DSK, 2023) calls for a legislative negative list banning precisely this. In short: the "your data affects your score" intuition is correct — just not at Schufa, and not via scraping. It runs through the credit-data supply chain, which is where the product now aims (section 6).</w:t>
      </w:r>
    </w:p>
    <w:p>
      <w:pPr>
        <w:spacing w:after="160" w:line="276" w:lineRule="auto"/>
      </w:pPr>
      <w:r>
        <w:rPr>
          <w:b/>
          <w:bCs/>
        </w:rPr>
        <w:t xml:space="preserve">What this does to the proposition.</w:t>
      </w:r>
      <w:r>
        <w:t xml:space="preserve"> Three claims replace the founding one, each defensible in writing: </w:t>
      </w:r>
      <w:r>
        <w:rPr>
          <w:b/>
          <w:bCs/>
        </w:rPr>
        <w:t xml:space="preserve">protect</w:t>
      </w:r>
      <w:r>
        <w:t xml:space="preserve"> the file by keeping identity fraud off it; </w:t>
      </w:r>
      <w:r>
        <w:rPr>
          <w:b/>
          <w:bCs/>
        </w:rPr>
        <w:t xml:space="preserve">purge</w:t>
      </w:r>
      <w:r>
        <w:t xml:space="preserve"> the broker-sourced layer at the bureaus that demonstrably use it; </w:t>
      </w:r>
      <w:r>
        <w:rPr>
          <w:b/>
          <w:bCs/>
        </w:rPr>
        <w:t xml:space="preserve">repair</w:t>
      </w:r>
      <w:r>
        <w:t xml:space="preserve"> what is actually in the file — errors, expired entries, wrongly-typed inquiries. "Optimisation" survives only in its legitimate form: accuracy, timing and informed product choice, never a promised score. Section 9 rebuilds the blueprint on exactly these three verbs.</w:t>
      </w:r>
    </w:p>
    <w:p>
      <w:pPr>
        <w:pStyle w:val="Heading1"/>
      </w:pPr>
      <w:r>
        <w:t xml:space="preserve">6. The credit-data supply chain: the Datenlieferanten investigation</w:t>
      </w:r>
    </w:p>
    <w:p>
      <w:pPr>
        <w:spacing w:after="160" w:line="276" w:lineRule="auto"/>
      </w:pPr>
      <w:r>
        <w:rPr>
          <w:b/>
          <w:bCs/>
        </w:rPr>
        <w:t xml:space="preserve">The lead.</w:t>
      </w:r>
      <w:r>
        <w:t xml:space="preserve"> Schufa’s own privacy notice (the "SCHUFA-Information nach Art. 14 DS-GVO", distributed to millions by banks, telcos and energy suppliers), section 2.3, current as of August 2026: "Die SCHUFA erhält ihre Daten </w:t>
      </w:r>
      <w:r>
        <w:rPr>
          <w:b/>
          <w:bCs/>
        </w:rPr>
        <w:t xml:space="preserve">einerseits</w:t>
      </w:r>
      <w:r>
        <w:t xml:space="preserve"> von ihren Vertragspartnern. […] Darüber hinaus verarbeitet die SCHUFA Informationen aus allgemein zugänglichen Quellen wie etwa öffentlichen Verzeichnissen und amtlichen Bekanntmachungen (z.B. Schuldnerverzeichnisse, Insolvenzbekanntmachungen) oder von Compliance-Listen […] </w:t>
      </w:r>
      <w:r>
        <w:rPr>
          <w:b/>
          <w:bCs/>
        </w:rPr>
        <w:t xml:space="preserve">sowie von Datenlieferanten</w:t>
      </w:r>
      <w:r>
        <w:t xml:space="preserve">." Grammatically, "Datenlieferanten" (data suppliers) is a third, parallel source channel — neither contract partners nor publicly accessible sources — which by construction describes commercial data acquisition. It is </w:t>
      </w:r>
      <w:r>
        <w:rPr>
          <w:b/>
          <w:bCs/>
        </w:rPr>
        <w:t xml:space="preserve">never defined</w:t>
      </w:r>
      <w:r>
        <w:t xml:space="preserve">: not in any version of the sheet examined, not anywhere on schufa.de.</w:t>
      </w:r>
    </w:p>
    <w:p>
      <w:pPr>
        <w:spacing w:after="160" w:line="276" w:lineRule="auto"/>
      </w:pPr>
      <w:r>
        <w:rPr>
          <w:b/>
          <w:bCs/>
        </w:rPr>
        <w:t xml:space="preserve">The version archaeology makes it stranger.</w:t>
      </w:r>
      <w:r>
        <w:t xml:space="preserve"> The May 2018 sheet closes its sources sentence at "(Schuldnerverzeichnisse, Insolvenzbekanntmachungen)" — a closed list; no Datenlieferanten, no Compliance-Listen. By October 2020 (the earliest dated copy found), the word "einerseits" had been inserted — grammatically announcing a second channel — and the closed list had gained two open-ended members: Compliance-Listen and Datenlieferanten. By the June 2025 revision, the explanatory examples after "Compliance-Listen" had been dropped. The disclosure has been drifting toward vagueness for six years, in a mass-distributed statutory document, and no supervisory authority, court, journalist or NGO has ever publicly asked who the Datenlieferanten are.</w:t>
      </w:r>
    </w:p>
    <w:p>
      <w:pPr>
        <w:spacing w:after="160" w:line="276" w:lineRule="auto"/>
      </w:pPr>
      <w:r>
        <w:rPr>
          <w:b/>
          <w:bCs/>
        </w:rPr>
        <w:t xml:space="preserve">Why naming suppliers works: the CRIF template.</w:t>
      </w:r>
      <w:r>
        <w:t xml:space="preserve"> Austria’s data-protection authority ruled in 2023 that CRIF’s use of AZ Direct address data — licensed for marketing — in credit scoring was an unlawful change of purpose, and that unlawful collection at the source makes the recipient’s processing inadmissible (the Article 17(1)(d) chain). Bavaria’s BayLDA found in February 2024 that CRIF had violated purpose limitation by buying Acxiom data, had breached its Article 14 duty to disclose the acquisition — and had answered the complainant’s Article 15 request </w:t>
      </w:r>
      <w:r>
        <w:rPr>
          <w:b/>
          <w:bCs/>
        </w:rPr>
        <w:t xml:space="preserve">incompletely and falsely</w:t>
      </w:r>
      <w:r>
        <w:t xml:space="preserve">, itself an actionable finding. In June 2026 noyb escalated to an injunction suit and a planned class action (~€500 per person) on the theory that ~90% of scored Austrians have no financial data at all and are scored on age, gender and address. Under this pressure, CRIF’s German notice dropped every broker source and the company recast such data as "identification only." The pattern is proven: </w:t>
      </w:r>
      <w:r>
        <w:rPr>
          <w:b/>
          <w:bCs/>
        </w:rPr>
        <w:t xml:space="preserve">name the supplier and the practice either becomes unlawful or gets abandoned.</w:t>
      </w:r>
      <w:r>
        <w:t xml:space="preserve"> Nobody has run this play against Schufa’s Datenlieferanten clause — or against infoscore, where the admission is already in writing.</w:t>
      </w:r>
    </w:p>
    <w:p>
      <w:pPr>
        <w:spacing w:after="160" w:line="276" w:lineRule="auto"/>
      </w:pPr>
      <w:r>
        <w:rPr>
          <w:b/>
          <w:bCs/>
        </w:rPr>
        <w:t xml:space="preserve">The prime German target is infoscore/Experian, not CRIF.</w:t>
      </w:r>
      <w:r>
        <w:t xml:space="preserve"> infoscore’s Article 14 notice (version 7, August 2026) names AZ Direct as its address source and admits neighbourhood defaults enter the score — so CRIF’s identification-only defence is unavailable to it by its own drafting. No German DPA action, complaint or ruling against infoscore on this point exists: an open field. Three aggravating facts sharpen it. Boniversum was merged into infoscore in September 2025, concentrating two bureaus’ files in one Baden-Baden entity. The November 2024 breach — credit scores and negative data of ~8 million Germans exposed through a partner app and unprotected interfaces — remains, as of this writing, without a published supervisory outcome. And venue is conveniently concentrated: infoscore (Baden-Baden) and CRIF (registered seat Karlsruhe, not Hamburg) both answer to the </w:t>
      </w:r>
      <w:r>
        <w:rPr>
          <w:b/>
          <w:bCs/>
        </w:rPr>
        <w:t xml:space="preserve">LfDI Baden-Württemberg</w:t>
      </w:r>
      <w:r>
        <w:t xml:space="preserve">, so the Article 77 escalation route for the two main targets runs through a single authority.</w:t>
      </w:r>
    </w:p>
    <w:p>
      <w:pPr>
        <w:spacing w:after="160" w:line="276" w:lineRule="auto"/>
      </w:pPr>
      <w:r>
        <w:rPr>
          <w:b/>
          <w:bCs/>
        </w:rPr>
        <w:t xml:space="preserve">Adjacent findings that widen the attack surface.</w:t>
      </w:r>
      <w:r>
        <w:t xml:space="preserve"> The bureaus’ Code of Conduct — approved by the Hessian DPA in May 2024 — governs only retention periods and states expressly that it contains no rules on whether storing particular data is justified at all: there is </w:t>
      </w:r>
      <w:r>
        <w:rPr>
          <w:b/>
          <w:bCs/>
        </w:rPr>
        <w:t xml:space="preserve">no self-regulatory instrument governing where a German bureau may buy data</w:t>
      </w:r>
      <w:r>
        <w:t xml:space="preserve">. The "Schattendatenbank" story (July 2026): a second Schufa database of up to ten-year-old records on a scale of ~68 million people, held for "test, development and control purposes", under examination by the Hessian DPA since spring 2025 — with Schufa stating on the record that historical data is </w:t>
      </w:r>
      <w:r>
        <w:rPr>
          <w:b/>
          <w:bCs/>
        </w:rPr>
        <w:t xml:space="preserve">not separately disclosed in the Article 15 data copy</w:t>
      </w:r>
      <w:r>
        <w:t xml:space="preserve">, which makes completeness of the statutory Datenkopie itself attackable (noyb’s pending complaint over withheld industry scores is precedent). Municipalities surface as undisclosed inbound suppliers: a Hessian municipal IT provider documents a scheme in which councils must report debtors to Schufa as the price of address queries — a public-sector data flow invisible in the Vertragspartner enumeration. And Deutsche Post Direkt documents a standing "Kooperation" with Schufa in deceased-persons data used to clean advertising mailing lists — the proven direction is outbound (Schufa to the address industry), and the product must not claim more than that; whether anything flows back is exactly what a provenance request is for.</w:t>
      </w:r>
    </w:p>
    <w:p>
      <w:pPr>
        <w:spacing w:after="160" w:line="276" w:lineRule="auto"/>
      </w:pPr>
      <w:r>
        <w:rPr>
          <w:b/>
          <w:bCs/>
        </w:rPr>
        <w:t xml:space="preserve">The campaign design.</w:t>
      </w:r>
      <w:r>
        <w:t xml:space="preserve"> The instrument is Article 15(1)(g) — the right to "any available information as to the source" of one’s data — turned into a first-class product action: every user asks every bureau, in legally precise German, to identify the source of each stored data category, naming Schufa’s section 2.3 "Datenlieferanten" verbatim and demanding supplier names and addresses. Responses parse into a per-user </w:t>
      </w:r>
      <w:r>
        <w:rPr>
          <w:b/>
          <w:bCs/>
        </w:rPr>
        <w:t xml:space="preserve">provenance ledger</w:t>
      </w:r>
      <w:r>
        <w:t xml:space="preserve">. Where a broker is named as source, the chained follow-ups fire: Article 17(1)(d) erasure at the bureau, objection and erasure at the named broker. Where the answer is silence, refusal or evasion, an Article 77 complaint is drafted for the seat authority — and the BayLDA precedent says an incomplete answer is itself a violation. Every request is an individual, mandated, purpose-stated exercise of one person’s rights (the Digital Omnibus defence); the aggregate picture — how each bureau answers the same lawful question — is published later, facts-only and counsel-reviewed. The honest caveat carries through: no individual consumer is documented to have completed this loop, which is precisely why the product’s own verified-outcome telemetry is both the proof of value and, if the answers are evasive, the regulatory and press story.</w:t>
      </w:r>
    </w:p>
    <w:p>
      <w:pPr>
        <w:pStyle w:val="Heading1"/>
      </w:pPr>
      <w:r>
        <w:t xml:space="preserve">7. Addressable market gaps</w:t>
      </w:r>
    </w:p>
    <w:p>
      <w:pPr>
        <w:spacing w:after="160" w:line="276" w:lineRule="auto"/>
      </w:pPr>
      <w:r>
        <w:t xml:space="preserve">Seven gaps emerge from the research. Each is addressable with current technology and law; together they define Scraper’s wedge. The structural limits of countering the data-brokerage market — repopulation, device-ID data, offline B2B flows — are acknowledged throughout and handled in section 14.</w:t>
      </w:r>
    </w:p>
    <w:p>
      <w:pPr>
        <w:spacing w:after="160" w:line="276" w:lineRule="auto"/>
      </w:pPr>
      <w:r>
        <w:rPr>
          <w:b/>
          <w:bCs/>
        </w:rPr>
        <w:t xml:space="preserve">Gap 1 — A German-native erasure machine.</w:t>
      </w:r>
      <w:r>
        <w:t xml:space="preserve"> Nobody industrialises legally precise German requests against the actual German stack: unconditional Article 21(2) marketing objections to address traders, Article 17 erasure where the legal basis is gone, correction and retention enforcement at bureaus, directory opt-outs, Robinsonliste enrolment and Google delisting — in German, citing BDSG and DSGVO, delivered by the channel each controller actually honours (including printed post). Incogni sends generic multi-jurisdiction requests; Datenputzer validates the idea at toy scale; datenanfragen.de leaves the user to do the work.</w:t>
      </w:r>
    </w:p>
    <w:p>
      <w:pPr>
        <w:spacing w:after="160" w:line="276" w:lineRule="auto"/>
      </w:pPr>
      <w:r>
        <w:rPr>
          <w:b/>
          <w:bCs/>
        </w:rPr>
        <w:t xml:space="preserve">Gap 2 — Verification and escalation as product.</w:t>
      </w:r>
      <w:r>
        <w:t xml:space="preserve"> Consumer Reports showed the industry’s output is unverified; no service treats the statutory one-month response clock as a state machine, auto-drafts Article 77 complaints on silence, or maintains a public per-broker compliance scoreboard. The GDPR’s stick exists — noyb proves it works — but nobody has productised it for consumers at scale.</w:t>
      </w:r>
    </w:p>
    <w:p>
      <w:pPr>
        <w:spacing w:after="160" w:line="276" w:lineRule="auto"/>
      </w:pPr>
      <w:r>
        <w:rPr>
          <w:b/>
          <w:bCs/>
        </w:rPr>
        <w:t xml:space="preserve">Gap 3 — Provenance as a product.</w:t>
      </w:r>
      <w:r>
        <w:t xml:space="preserve"> No service asks the supply-chain question at scale: where did this bureau get my data? Article 15(1)(g) grants the right to know the source; the CRIF precedents show that naming suppliers kills unlawful sourcing; Schufa’s undefined "Datenlieferanten" clause and infoscore’s written AZ Direct admission are standing invitations (section 6). Nobody — not Incogni, not the nonprofits, not the law firms — runs this play for consumers.</w:t>
      </w:r>
    </w:p>
    <w:p>
      <w:pPr>
        <w:spacing w:after="160" w:line="276" w:lineRule="auto"/>
      </w:pPr>
      <w:r>
        <w:rPr>
          <w:b/>
          <w:bCs/>
        </w:rPr>
        <w:t xml:space="preserve">Gap 4 — Outcome linkage: privacy converted into money.</w:t>
      </w:r>
      <w:r>
        <w:t xml:space="preserve"> No privacy product connects data hygiene to the Schufa file, rental applications or lending outcomes — and the honest linkage runs through fraud prevention and file repair, not scraping defence (section 5). The adjacent German tool, bonify, is owned by Schufa itself — a trust gap begging for an independent alternative. Post-C-634/21, post-C-203/22 and post-BGH, the legal hooks for an automated, compliant score-transparency module exist and are fresh.</w:t>
      </w:r>
    </w:p>
    <w:p>
      <w:pPr>
        <w:spacing w:after="160" w:line="276" w:lineRule="auto"/>
      </w:pPr>
      <w:r>
        <w:rPr>
          <w:b/>
          <w:bCs/>
        </w:rPr>
        <w:t xml:space="preserve">Gap 5 — A real-time privacy copilot in the browser.</w:t>
      </w:r>
      <w:r>
        <w:t xml:space="preserve"> Confirmed vacuum (section 4.2). The extension is also a distribution strategy: free, immediately useful, viral in the "look what this site does" sense, and a funnel into the paid modules. The pivot demotes it from wedge to Phase-2 acquisition surface — the vacuum is real, but it is not where the money-shaped pain lives.</w:t>
      </w:r>
    </w:p>
    <w:p>
      <w:pPr>
        <w:spacing w:after="160" w:line="276" w:lineRule="auto"/>
      </w:pPr>
      <w:r>
        <w:rPr>
          <w:b/>
          <w:bCs/>
        </w:rPr>
        <w:t xml:space="preserve">Gap 6 — The EU’s missing DROP.</w:t>
      </w:r>
      <w:r>
        <w:t xml:space="preserve"> California built central deletion infrastructure by statute; the EU has none and none proposed. A private "DROP for Europe" — one mandate, every relevant controller, verified outcomes — has no incumbent and a regulatory tailwind, with the broker census itself becoming a proprietary data asset (no EU data-broker registry exists to copy from).</w:t>
      </w:r>
    </w:p>
    <w:p>
      <w:pPr>
        <w:spacing w:after="160" w:line="276" w:lineRule="auto"/>
      </w:pPr>
      <w:r>
        <w:rPr>
          <w:b/>
          <w:bCs/>
        </w:rPr>
        <w:t xml:space="preserve">Gap 7 — B2B employee protection, later.</w:t>
      </w:r>
      <w:r>
        <w:t xml:space="preserve"> DeleteMe’s real profit pool is corporate protection of executives and doxxing-exposed staff. The same census, playbooks and evidence infrastructure resells to German employers, unions and public bodies (the Databroker Files showed soldiers and officials are trackable) once the consumer product proves the machinery.</w:t>
      </w:r>
    </w:p>
    <w:p>
      <w:pPr>
        <w:pStyle w:val="Heading1"/>
      </w:pPr>
      <w:r>
        <w:t xml:space="preserve">8. International expansion: the underserved-market map</w:t>
      </w:r>
    </w:p>
    <w:p>
      <w:pPr>
        <w:spacing w:after="160" w:line="276" w:lineRule="auto"/>
      </w:pPr>
      <w:r>
        <w:t xml:space="preserve">The US already has scaled incumbents (DeleteMe, Incogni, Optery, Cloaked) and is about to be partly commoditised by California’s free DROP. The strategic question is where else the same rights-infrastructure gap exists without an entrenched competitor. We scanned ten other high-income markets for four things: an enforceable deletion or objection right, a real exposure problem, thin incumbent coverage, and a wedge a GDPR-native team could execute. The map below ranks them by opportunity times feasibility; Germany remains the beachhead, and everything here is sequenced after the German loop works.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0"/>
        <w:gridCol w:w="2050"/>
        <w:gridCol w:w="3150"/>
        <w:gridCol w:w="3096"/>
      </w:tblGrid>
      <w:tr>
        <w:trPr>
          <w:cantSplit/>
          <w:tblHeader/>
        </w:trPr>
        <w:tc>
          <w:tcPr>
            <w:tcW w:type="dxa" w:w="145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Market</w:t>
            </w:r>
          </w:p>
        </w:tc>
        <w:tc>
          <w:tcPr>
            <w:tcW w:type="dxa" w:w="205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Deletion-rights leverage</w:t>
            </w:r>
          </w:p>
        </w:tc>
        <w:tc>
          <w:tcPr>
            <w:tcW w:type="dxa" w:w="315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Exposure &amp; incumbents</w:t>
            </w:r>
          </w:p>
        </w:tc>
        <w:tc>
          <w:tcPr>
            <w:tcW w:type="dxa" w:w="3096"/>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Verdict &amp; wedge</w:t>
            </w:r>
          </w:p>
        </w:tc>
      </w:tr>
      <w:tr>
        <w:trPr>
          <w:cantSplit/>
        </w:trPr>
        <w:tc>
          <w:tcPr>
            <w:tcW w:type="dxa" w:w="1450"/>
            <w:tcMar>
              <w:top w:type="dxa" w:w="70"/>
              <w:left w:type="dxa" w:w="100"/>
              <w:bottom w:type="dxa" w:w="70"/>
              <w:right w:type="dxa" w:w="100"/>
            </w:tcMar>
            <w:vAlign w:val="center"/>
          </w:tcPr>
          <w:p>
            <w:pPr>
              <w:spacing w:after="0" w:line="250" w:lineRule="auto"/>
            </w:pPr>
            <w:r>
              <w:rPr>
                <w:b w:val="false"/>
                <w:bCs w:val="false"/>
                <w:sz w:val="16"/>
                <w:szCs w:val="16"/>
              </w:rPr>
              <w:t xml:space="preserve">Quebec</w:t>
            </w:r>
          </w:p>
        </w:tc>
        <w:tc>
          <w:tcPr>
            <w:tcW w:type="dxa" w:w="2050"/>
            <w:tcMar>
              <w:top w:type="dxa" w:w="70"/>
              <w:left w:type="dxa" w:w="100"/>
              <w:bottom w:type="dxa" w:w="70"/>
              <w:right w:type="dxa" w:w="100"/>
            </w:tcMar>
            <w:vAlign w:val="center"/>
          </w:tcPr>
          <w:p>
            <w:pPr>
              <w:spacing w:after="0" w:line="250" w:lineRule="auto"/>
            </w:pPr>
            <w:r>
              <w:rPr>
                <w:b w:val="false"/>
                <w:bCs w:val="false"/>
                <w:sz w:val="16"/>
                <w:szCs w:val="16"/>
              </w:rPr>
              <w:t xml:space="preserve">Strong — Law 25 s.28.1 cease-dissemination &amp; de-indexing (in force 2023), 30-day deadline, penalties to 4% turnover</w:t>
            </w:r>
          </w:p>
        </w:tc>
        <w:tc>
          <w:tcPr>
            <w:tcW w:type="dxa" w:w="3150"/>
            <w:tcMar>
              <w:top w:type="dxa" w:w="70"/>
              <w:left w:type="dxa" w:w="100"/>
              <w:bottom w:type="dxa" w:w="70"/>
              <w:right w:type="dxa" w:w="100"/>
            </w:tcMar>
            <w:vAlign w:val="center"/>
          </w:tcPr>
          <w:p>
            <w:pPr>
              <w:spacing w:after="0" w:line="250" w:lineRule="auto"/>
            </w:pPr>
            <w:r>
              <w:rPr>
                <w:b w:val="false"/>
                <w:bCs w:val="false"/>
                <w:sz w:val="16"/>
                <w:szCs w:val="16"/>
              </w:rPr>
              <w:t xml:space="preserve">Canada411/US brokers reach Québécois; Optery excludes Quebec (French-app/Law 96 barrier); Incogni’s Law 25 use unproven</w:t>
            </w:r>
          </w:p>
        </w:tc>
        <w:tc>
          <w:tcPr>
            <w:tcW w:type="dxa" w:w="3096"/>
            <w:tcMar>
              <w:top w:type="dxa" w:w="70"/>
              <w:left w:type="dxa" w:w="100"/>
              <w:bottom w:type="dxa" w:w="70"/>
              <w:right w:type="dxa" w:w="100"/>
            </w:tcMar>
            <w:vAlign w:val="center"/>
          </w:tcPr>
          <w:p>
            <w:pPr>
              <w:spacing w:after="0" w:line="250" w:lineRule="auto"/>
            </w:pPr>
            <w:r>
              <w:rPr>
                <w:b w:val="false"/>
                <w:bCs w:val="false"/>
                <w:sz w:val="16"/>
                <w:szCs w:val="16"/>
              </w:rPr>
              <w:t xml:space="preserve">WIDE OPEN + strong law. French-first product invoking s.28.1; the language rule that blocks Optery is the moat a bilingual EU team clears.</w:t>
            </w:r>
          </w:p>
        </w:tc>
      </w:tr>
      <w:tr>
        <w:trPr>
          <w:cantSplit/>
        </w:trPr>
        <w:tc>
          <w:tcPr>
            <w:tcW w:type="dxa" w:w="14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United Kingdom</w:t>
            </w:r>
          </w:p>
        </w:tc>
        <w:tc>
          <w:tcPr>
            <w:tcW w:type="dxa" w:w="20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Strong — UK GDPR Art 17 intact; DUAA 2025 adds a mandatory controller complaints channel</w:t>
            </w:r>
          </w:p>
        </w:tc>
        <w:tc>
          <w:tcPr>
            <w:tcW w:type="dxa" w:w="31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192.com/ukphonebook (open electoral register); Companies House suppression live since 18 Nov 2025; Incogni/DeleteMe/EraseMe present but run generic broker lists</w:t>
            </w:r>
          </w:p>
        </w:tc>
        <w:tc>
          <w:tcPr>
            <w:tcW w:type="dxa" w:w="309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PARTIALLY SERVED. Wedge = UK-native cleanup: legacy electoral-roll purge + Companies House address suppression + DUAA escalation, beneath a crowded generic tier.</w:t>
            </w:r>
          </w:p>
        </w:tc>
      </w:tr>
      <w:tr>
        <w:trPr>
          <w:cantSplit/>
        </w:trPr>
        <w:tc>
          <w:tcPr>
            <w:tcW w:type="dxa" w:w="1450"/>
            <w:tcMar>
              <w:top w:type="dxa" w:w="70"/>
              <w:left w:type="dxa" w:w="100"/>
              <w:bottom w:type="dxa" w:w="70"/>
              <w:right w:type="dxa" w:w="100"/>
            </w:tcMar>
            <w:vAlign w:val="center"/>
          </w:tcPr>
          <w:p>
            <w:pPr>
              <w:spacing w:after="0" w:line="250" w:lineRule="auto"/>
            </w:pPr>
            <w:r>
              <w:rPr>
                <w:b w:val="false"/>
                <w:bCs w:val="false"/>
                <w:sz w:val="16"/>
                <w:szCs w:val="16"/>
              </w:rPr>
              <w:t xml:space="preserve">Sweden</w:t>
            </w:r>
          </w:p>
        </w:tc>
        <w:tc>
          <w:tcPr>
            <w:tcW w:type="dxa" w:w="2050"/>
            <w:tcMar>
              <w:top w:type="dxa" w:w="70"/>
              <w:left w:type="dxa" w:w="100"/>
              <w:bottom w:type="dxa" w:w="70"/>
              <w:right w:type="dxa" w:w="100"/>
            </w:tcMar>
            <w:vAlign w:val="center"/>
          </w:tcPr>
          <w:p>
            <w:pPr>
              <w:spacing w:after="0" w:line="250" w:lineRule="auto"/>
            </w:pPr>
            <w:r>
              <w:rPr>
                <w:b w:val="false"/>
                <w:bCs w:val="false"/>
                <w:sz w:val="16"/>
                <w:szCs w:val="16"/>
              </w:rPr>
              <w:t xml:space="preserve">Newly unlocked — CJEU C-199/24 (9 Jul 2026) ended the utgivningsbevis GDPR exemption for search sites</w:t>
            </w:r>
          </w:p>
        </w:tc>
        <w:tc>
          <w:tcPr>
            <w:tcW w:type="dxa" w:w="3150"/>
            <w:tcMar>
              <w:top w:type="dxa" w:w="70"/>
              <w:left w:type="dxa" w:w="100"/>
              <w:bottom w:type="dxa" w:w="70"/>
              <w:right w:type="dxa" w:w="100"/>
            </w:tcMar>
            <w:vAlign w:val="center"/>
          </w:tcPr>
          <w:p>
            <w:pPr>
              <w:spacing w:after="0" w:line="250" w:lineRule="auto"/>
            </w:pPr>
            <w:r>
              <w:rPr>
                <w:b w:val="false"/>
                <w:bCs w:val="false"/>
                <w:sz w:val="16"/>
                <w:szCs w:val="16"/>
              </w:rPr>
              <w:t xml:space="preserve">Ratsit, Mrkoll, Merinfo, Hitta, Lexbase (criminal records); IMY parking a complaint backlog; no scaled subscription player</w:t>
            </w:r>
          </w:p>
        </w:tc>
        <w:tc>
          <w:tcPr>
            <w:tcW w:type="dxa" w:w="3096"/>
            <w:tcMar>
              <w:top w:type="dxa" w:w="70"/>
              <w:left w:type="dxa" w:w="100"/>
              <w:bottom w:type="dxa" w:w="70"/>
              <w:right w:type="dxa" w:w="100"/>
            </w:tcMar>
            <w:vAlign w:val="center"/>
          </w:tcPr>
          <w:p>
            <w:pPr>
              <w:spacing w:after="0" w:line="250" w:lineRule="auto"/>
            </w:pPr>
            <w:r>
              <w:rPr>
                <w:b w:val="false"/>
                <w:bCs w:val="false"/>
                <w:sz w:val="16"/>
                <w:szCs w:val="16"/>
              </w:rPr>
              <w:t xml:space="preserve">NEWLY VIABLE, TIME-SENSITIVE. BankID-verified GDPR erasure across the söktjänster + IMY complaints; first-mover window before Incogni retools. Constitutional fix stalled to ~2031, so GDPR is the only lever.</w:t>
            </w:r>
          </w:p>
        </w:tc>
      </w:tr>
      <w:tr>
        <w:trPr>
          <w:cantSplit/>
        </w:trPr>
        <w:tc>
          <w:tcPr>
            <w:tcW w:type="dxa" w:w="14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Japan</w:t>
            </w:r>
          </w:p>
        </w:tc>
        <w:tc>
          <w:tcPr>
            <w:tcW w:type="dxa" w:w="20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Medium — APPI cease-use/deletion (2022) + PPC opt-out broker registry (~162 filed brokers) with a statutory stop-on-demand</w:t>
            </w:r>
          </w:p>
        </w:tc>
        <w:tc>
          <w:tcPr>
            <w:tcW w:type="dxa" w:w="31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Phone-aggregators (jpnumber, Telnavi), Jusho-de-Pon; a pricey lawyer-led deletion industry (¥100k+/matter); no Incogni/DeleteMe/Optery presence; CIC credit score disclosure launched Nov 2024</w:t>
            </w:r>
          </w:p>
        </w:tc>
        <w:tc>
          <w:tcPr>
            <w:tcW w:type="dxa" w:w="309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BIGGEST WHITESPACE, hardest build. Automate APPI stop-demands + phone-site removals + credit-score concierge — but structure around 非弁行為 (software in the user’s own name, lawyer partnership). 12+ month effort.</w:t>
            </w:r>
          </w:p>
        </w:tc>
      </w:tr>
      <w:tr>
        <w:trPr>
          <w:cantSplit/>
        </w:trPr>
        <w:tc>
          <w:tcPr>
            <w:tcW w:type="dxa" w:w="1450"/>
            <w:tcMar>
              <w:top w:type="dxa" w:w="70"/>
              <w:left w:type="dxa" w:w="100"/>
              <w:bottom w:type="dxa" w:w="70"/>
              <w:right w:type="dxa" w:w="100"/>
            </w:tcMar>
            <w:vAlign w:val="center"/>
          </w:tcPr>
          <w:p>
            <w:pPr>
              <w:spacing w:after="0" w:line="250" w:lineRule="auto"/>
            </w:pPr>
            <w:r>
              <w:rPr>
                <w:b w:val="false"/>
                <w:bCs w:val="false"/>
                <w:sz w:val="16"/>
                <w:szCs w:val="16"/>
              </w:rPr>
              <w:t xml:space="preserve">Switzerland</w:t>
            </w:r>
          </w:p>
        </w:tc>
        <w:tc>
          <w:tcPr>
            <w:tcW w:type="dxa" w:w="2050"/>
            <w:tcMar>
              <w:top w:type="dxa" w:w="70"/>
              <w:left w:type="dxa" w:w="100"/>
              <w:bottom w:type="dxa" w:w="70"/>
              <w:right w:type="dxa" w:w="100"/>
            </w:tcMar>
            <w:vAlign w:val="center"/>
          </w:tcPr>
          <w:p>
            <w:pPr>
              <w:spacing w:after="0" w:line="250" w:lineRule="auto"/>
            </w:pPr>
            <w:r>
              <w:rPr>
                <w:b w:val="false"/>
                <w:bCs w:val="false"/>
                <w:sz w:val="16"/>
                <w:szCs w:val="16"/>
              </w:rPr>
              <w:t xml:space="preserve">Medium — nFADP access (30 days) &amp; personality-rights deletion; weaker fines</w:t>
            </w:r>
          </w:p>
        </w:tc>
        <w:tc>
          <w:tcPr>
            <w:tcW w:type="dxa" w:w="3150"/>
            <w:tcMar>
              <w:top w:type="dxa" w:w="70"/>
              <w:left w:type="dxa" w:w="100"/>
              <w:bottom w:type="dxa" w:w="70"/>
              <w:right w:type="dxa" w:w="100"/>
            </w:tcMar>
            <w:vAlign w:val="center"/>
          </w:tcPr>
          <w:p>
            <w:pPr>
              <w:spacing w:after="0" w:line="250" w:lineRule="auto"/>
            </w:pPr>
            <w:r>
              <w:rPr>
                <w:b w:val="false"/>
                <w:bCs w:val="false"/>
                <w:sz w:val="16"/>
                <w:szCs w:val="16"/>
              </w:rPr>
              <w:t xml:space="preserve">Moneyhouse, CRIF/Intrum/D&amp;B credit files with documented error pain; local.ch opt-outs; Incogni nominally covers CH; cleandata.ch tiny</w:t>
            </w:r>
          </w:p>
        </w:tc>
        <w:tc>
          <w:tcPr>
            <w:tcW w:type="dxa" w:w="3096"/>
            <w:tcMar>
              <w:top w:type="dxa" w:w="70"/>
              <w:left w:type="dxa" w:w="100"/>
              <w:bottom w:type="dxa" w:w="70"/>
              <w:right w:type="dxa" w:w="100"/>
            </w:tcMar>
            <w:vAlign w:val="center"/>
          </w:tcPr>
          <w:p>
            <w:pPr>
              <w:spacing w:after="0" w:line="250" w:lineRule="auto"/>
            </w:pPr>
            <w:r>
              <w:rPr>
                <w:b w:val="false"/>
                <w:bCs w:val="false"/>
                <w:sz w:val="16"/>
                <w:szCs w:val="16"/>
              </w:rPr>
              <w:t xml:space="preserve">MODERATE, high synergy. Same German-language stack as the core product; Moneyhouse + CRIF wedge. Ship as a DACH add-on, not a standalone bet.</w:t>
            </w:r>
          </w:p>
        </w:tc>
      </w:tr>
      <w:tr>
        <w:trPr>
          <w:cantSplit/>
        </w:trPr>
        <w:tc>
          <w:tcPr>
            <w:tcW w:type="dxa" w:w="14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Australia</w:t>
            </w:r>
          </w:p>
        </w:tc>
        <w:tc>
          <w:tcPr>
            <w:tcW w:type="dxa" w:w="20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Weak — no erasure right; statutory privacy tort live Jun 2025; second tranche stalled, Productivity Commission argued against erasure</w:t>
            </w:r>
          </w:p>
        </w:tc>
        <w:tc>
          <w:tcPr>
            <w:tcW w:type="dxa" w:w="31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whitepages.com.au, personlookup, reverseaustralia; Equifax/illion duopoly; Optery launched only Mar 2026, Incogni absent, no serious local</w:t>
            </w:r>
          </w:p>
        </w:tc>
        <w:tc>
          <w:tcPr>
            <w:tcW w:type="dxa" w:w="309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UNDERSERVED but weak law. Enter on safety/service framing (suppression + tort escalation for stalking cases). Flip to attractive if tranche 2 adds erasure.</w:t>
            </w:r>
          </w:p>
        </w:tc>
      </w:tr>
      <w:tr>
        <w:trPr>
          <w:cantSplit/>
        </w:trPr>
        <w:tc>
          <w:tcPr>
            <w:tcW w:type="dxa" w:w="1450"/>
            <w:tcMar>
              <w:top w:type="dxa" w:w="70"/>
              <w:left w:type="dxa" w:w="100"/>
              <w:bottom w:type="dxa" w:w="70"/>
              <w:right w:type="dxa" w:w="100"/>
            </w:tcMar>
            <w:vAlign w:val="center"/>
          </w:tcPr>
          <w:p>
            <w:pPr>
              <w:spacing w:after="0" w:line="250" w:lineRule="auto"/>
            </w:pPr>
            <w:r>
              <w:rPr>
                <w:b w:val="false"/>
                <w:bCs w:val="false"/>
                <w:sz w:val="16"/>
                <w:szCs w:val="16"/>
              </w:rPr>
              <w:t xml:space="preserve">Skip / defer</w:t>
            </w:r>
          </w:p>
        </w:tc>
        <w:tc>
          <w:tcPr>
            <w:tcW w:type="dxa" w:w="2050"/>
            <w:tcMar>
              <w:top w:type="dxa" w:w="70"/>
              <w:left w:type="dxa" w:w="100"/>
              <w:bottom w:type="dxa" w:w="70"/>
              <w:right w:type="dxa" w:w="100"/>
            </w:tcMar>
            <w:vAlign w:val="center"/>
          </w:tcPr>
          <w:p>
            <w:pPr>
              <w:spacing w:after="0" w:line="250" w:lineRule="auto"/>
            </w:pPr>
            <w:r>
              <w:rPr>
                <w:b w:val="false"/>
                <w:bCs w:val="false"/>
                <w:sz w:val="16"/>
                <w:szCs w:val="16"/>
              </w:rPr>
              <w:t xml:space="preserve">—</w:t>
            </w:r>
          </w:p>
        </w:tc>
        <w:tc>
          <w:tcPr>
            <w:tcW w:type="dxa" w:w="3150"/>
            <w:tcMar>
              <w:top w:type="dxa" w:w="70"/>
              <w:left w:type="dxa" w:w="100"/>
              <w:bottom w:type="dxa" w:w="70"/>
              <w:right w:type="dxa" w:w="100"/>
            </w:tcMar>
            <w:vAlign w:val="center"/>
          </w:tcPr>
          <w:p>
            <w:pPr>
              <w:spacing w:after="0" w:line="250" w:lineRule="auto"/>
            </w:pPr>
            <w:r>
              <w:rPr>
                <w:b w:val="false"/>
                <w:bCs w:val="false"/>
                <w:sz w:val="16"/>
                <w:szCs w:val="16"/>
              </w:rPr>
              <w:t xml:space="preserve">—</w:t>
            </w:r>
          </w:p>
        </w:tc>
        <w:tc>
          <w:tcPr>
            <w:tcW w:type="dxa" w:w="3096"/>
            <w:tcMar>
              <w:top w:type="dxa" w:w="70"/>
              <w:left w:type="dxa" w:w="100"/>
              <w:bottom w:type="dxa" w:w="70"/>
              <w:right w:type="dxa" w:w="100"/>
            </w:tcMar>
            <w:vAlign w:val="center"/>
          </w:tcPr>
          <w:p>
            <w:pPr>
              <w:spacing w:after="0" w:line="250" w:lineRule="auto"/>
            </w:pPr>
            <w:r>
              <w:rPr>
                <w:b w:val="false"/>
                <w:bCs w:val="false"/>
                <w:sz w:val="16"/>
                <w:szCs w:val="16"/>
              </w:rPr>
              <w:t xml:space="preserve">New Zealand (tiny market, weakest law — an AU add-on at most); South Korea (state gives youth deletion away free, credit scores already free via Toss/KakaoBank, red-ocean "digital undertakers"); Finland/Denmark/Norway (public-data culture, thin exposure).</w:t>
            </w:r>
          </w:p>
        </w:tc>
      </w:tr>
    </w:tbl>
    <w:p>
      <w:pPr>
        <w:spacing w:after="160" w:line="276" w:lineRule="auto"/>
      </w:pPr>
      <w:r>
        <w:rPr>
          <w:b/>
          <w:bCs/>
        </w:rPr>
        <w:t xml:space="preserve">Reading the map.</w:t>
      </w:r>
      <w:r>
        <w:t xml:space="preserve"> Two axes matter and they trade off. Legal leverage is strongest in the GDPR/adequacy orbit — Quebec, the UK, Sweden, Switzerland — where a deletion or objection right is enforceable and the German playbook ports with modest localisation. Whitespace is largest exactly where leverage is weaker or the build is harder — Japan above all, then Australia — because that difficulty is what kept incumbents out. A GDPR-native team should bank the leverage markets first and treat the hard-but-empty ones as staged bets, not launch targets.</w:t>
      </w:r>
    </w:p>
    <w:p>
      <w:pPr>
        <w:spacing w:after="160" w:line="276" w:lineRule="auto"/>
      </w:pPr>
      <w:r>
        <w:rPr>
          <w:b/>
          <w:bCs/>
        </w:rPr>
        <w:t xml:space="preserve">The honest caveats, stated plainly.</w:t>
      </w:r>
      <w:r>
        <w:t xml:space="preserve"> Australia and New Zealand give a removal service no legal compulsion — it runs on brokers’ voluntary opt-out policies and, for serious cases, the new Australian tort; the product must win on service quality, not law. Japan’s 非弁行為 rule (unauthorised legal practice) can make even sending a request "on behalf of" a user illegal for a non-lawyer, so Japan is only enterable as user-initiated software with a law-firm partner. Sweden’s window is real but time-sensitive and partial — folkbokföring data stays public at source and Lexbase conviction data is an escalation track, not a one-click delete. And Quebec, the single most attractive cell, hinges on a French-language build and correct use of one statute; it rewards focus, not a thin multi-market spread.</w:t>
      </w:r>
    </w:p>
    <w:p>
      <w:pPr>
        <w:spacing w:after="160" w:line="276" w:lineRule="auto"/>
      </w:pPr>
      <w:r>
        <w:rPr>
          <w:b/>
          <w:bCs/>
        </w:rPr>
        <w:t xml:space="preserve">Sequencing.</w:t>
      </w:r>
      <w:r>
        <w:t xml:space="preserve"> Germany proves the machine (the census, playbooks, escalation, evidence). Switzerland and Austria are near-free extensions of it because they share the language and the DACH broker set — and Switzerland adds a natural provenance target in the CRIF/Intrum credit-file complex. The UK and Sweden are the first true new-market builds — both GDPR-family, both with a sharp native wedge (Companies House suppression; the post-Lexbase söktjänst cleanup) and a first-mover clock in Sweden’s case. Quebec is the highest-value single expansion and the one worth a dedicated French-language effort. Japan is the long-horizon prize, gated on a legal structure rather than on technology. This ordering is reflected in the roadmap in section 15.</w:t>
      </w:r>
    </w:p>
    <w:p>
      <w:pPr>
        <w:pStyle w:val="Heading1"/>
      </w:pPr>
      <w:r>
        <w:t xml:space="preserve">9. Product blueprint: three modules, one engine</w:t>
      </w:r>
    </w:p>
    <w:p>
      <w:pPr>
        <w:spacing w:after="160" w:line="276" w:lineRule="auto"/>
      </w:pPr>
      <w:r>
        <w:t xml:space="preserve">The pivot collapses the old five-module sprawl into </w:t>
      </w:r>
      <w:r>
        <w:rPr>
          <w:b/>
          <w:bCs/>
        </w:rPr>
        <w:t xml:space="preserve">three flagship modules on one shared rights engine</w:t>
      </w:r>
      <w:r>
        <w:t xml:space="preserve">, each named for a verb a German consumer already understands: </w:t>
      </w:r>
      <w:r>
        <w:rPr>
          <w:b/>
          <w:bCs/>
        </w:rPr>
        <w:t xml:space="preserve">Provenance</w:t>
      </w:r>
      <w:r>
        <w:t xml:space="preserve"> (purge), </w:t>
      </w:r>
      <w:r>
        <w:rPr>
          <w:b/>
          <w:bCs/>
        </w:rPr>
        <w:t xml:space="preserve">Fraud Shield</w:t>
      </w:r>
      <w:r>
        <w:t xml:space="preserve"> (protect), </w:t>
      </w:r>
      <w:r>
        <w:rPr>
          <w:b/>
          <w:bCs/>
        </w:rPr>
        <w:t xml:space="preserve">File Fixer</w:t>
      </w:r>
      <w:r>
        <w:t xml:space="preserve"> (repair). Data Radar and the alias/receipts machinery survive as supporting capabilities feeding these three; the browser Copilot moves to Phase 2 as an acquisition surface, not a wedge. Everything sits on the same engine described in section 11 — a census of controllers, an orchestrator that runs every rights-action as a ticket with a statutory clock, an evidence store that hash-stamps every letter, and the trust envelope. The modules are not separate products; they are three entry points into the same loop, and a user who arrives through fraud fear leaves with a cleaner file and a provenance map.</w:t>
      </w:r>
    </w:p>
    <w:p>
      <w:pPr>
        <w:pStyle w:val="Heading2"/>
      </w:pPr>
      <w:r>
        <w:t xml:space="preserve">9.1 Provenance — "Woher haben die meine Daten?"</w:t>
      </w:r>
    </w:p>
    <w:p>
      <w:pPr>
        <w:spacing w:after="160" w:line="276" w:lineRule="auto"/>
      </w:pPr>
      <w:r>
        <w:t xml:space="preserve">The flagship, and the one nobody else runs. For each bureau the user is enrolled against, Provenance issues an </w:t>
      </w:r>
      <w:r>
        <w:rPr>
          <w:b/>
          <w:bCs/>
        </w:rPr>
        <w:t xml:space="preserve">Article 15(1)(g) source request</w:t>
      </w:r>
      <w:r>
        <w:t xml:space="preserve"> in legally precise German, demanding identification of the source of every stored data category and naming Schufa’s section 2.3 "Datenlieferanten" verbatim (and, at infoscore, the AZ Direct admission already in writing). Responses are parsed by the untrusted-document sandbox into a </w:t>
      </w:r>
      <w:r>
        <w:rPr>
          <w:b/>
          <w:bCs/>
        </w:rPr>
        <w:t xml:space="preserve">provenance ledger</w:t>
      </w:r>
      <w:r>
        <w:t xml:space="preserve">: for each data item, who supplied it, on what stated legal basis, and whether that source is a broker. Where a broker is named, the engine fires the chained follow-ups — Article 17(1)(d) erasure at the bureau (unlawful origin makes the recipient’s processing inadmissible, the Austrian DSB’s reasoning), plus objection and erasure at the named broker (AZ Direct, Acxiom, Deutsche Post Direkt, Schober/Capaneo). Where the answer is silence, evasion or an incomplete list, an Article 77 complaint is drafted for the seat authority — the BayLDA precedent holds that an incomplete Article 15 answer is itself a violation. Primary targets: infoscore/Experian (Baden-Baden) and CRIF (Karlsruhe), both under LfDI Baden-Württemberg; Schufa (Wiesbaden, HBDI) for the Datenlieferanten and Schattendatenbank questions. The aggregate — how each bureau answers the same lawful question — becomes a facts-only public record later (section 10, Tier 3).</w:t>
      </w:r>
    </w:p>
    <w:p>
      <w:pPr>
        <w:pStyle w:val="Heading2"/>
      </w:pPr>
      <w:r>
        <w:t xml:space="preserve">9.2 Fraud Shield — keep identity fraud off the file</w:t>
      </w:r>
    </w:p>
    <w:p>
      <w:pPr>
        <w:spacing w:after="160" w:line="276" w:lineRule="auto"/>
      </w:pPr>
      <w:r>
        <w:t xml:space="preserve">The honest version of "protect your Schufa", built on the one channel through which exposed data really does damage a score (section 5). Fraud Shield runs three loops. </w:t>
      </w:r>
      <w:r>
        <w:rPr>
          <w:b/>
          <w:bCs/>
        </w:rPr>
        <w:t xml:space="preserve">Detect:</w:t>
      </w:r>
      <w:r>
        <w:t xml:space="preserve"> breach and stealer-log monitoring (HIBP Pro, later identity-intelligence feeds) plus alias-first signups so a future leak yields a pseudonym, not the user’s real coordinates — shipped with the visible caveat that aliases can trigger checkout declines. </w:t>
      </w:r>
      <w:r>
        <w:rPr>
          <w:b/>
          <w:bCs/>
        </w:rPr>
        <w:t xml:space="preserve">Register:</w:t>
      </w:r>
      <w:r>
        <w:t xml:space="preserve"> guided filing of Schufa’s Identitätsbetrug-Einmeldung (the victim marker that sets a fraud flag without touching the score) and the equivalent at the other bureaus — the remedy 91% of victims never use, reduced to a guided flow with a pre-verified identity packet. </w:t>
      </w:r>
      <w:r>
        <w:rPr>
          <w:b/>
          <w:bCs/>
        </w:rPr>
        <w:t xml:space="preserve">Repair:</w:t>
      </w:r>
      <w:r>
        <w:t xml:space="preserve"> when a fraud-caused negative entry has already landed, the File Fixer case-builder (9.3) assembles the individualised deletion argument the December 2025 BGH ruling now requires. Fraud Shield is the emotional front door of the product — the fear is concrete and the €10bn number is Schufa’s own — and it routes users straight into the file-level work where the durable value sits.</w:t>
      </w:r>
    </w:p>
    <w:p>
      <w:pPr>
        <w:pStyle w:val="Heading2"/>
      </w:pPr>
      <w:r>
        <w:t xml:space="preserve">9.3 File Fixer — automate the bureaucracy of a correct file</w:t>
      </w:r>
    </w:p>
    <w:p>
      <w:pPr>
        <w:spacing w:after="160" w:line="276" w:lineRule="auto"/>
      </w:pPr>
      <w:r>
        <w:t xml:space="preserve">Ingest first: automated free Datenkopie requests (Article 15) to Schufa, CRIF and infoscore; postal replies photographed and OCR-parsed into a normalised credit file by the same sandbox pipeline as Provenance — built once, used by both. Then four workflows, each a paperwork task software does better than a distressed human. </w:t>
      </w:r>
      <w:r>
        <w:rPr>
          <w:b/>
          <w:bCs/>
        </w:rPr>
        <w:t xml:space="preserve">Error-hunting:</w:t>
      </w:r>
      <w:r>
        <w:t xml:space="preserve"> cross-check entries against the user’s own records and auto-draft disputes (a Klärungsfall freezes the contested entry during investigation). </w:t>
      </w:r>
      <w:r>
        <w:rPr>
          <w:b/>
          <w:bCs/>
        </w:rPr>
        <w:t xml:space="preserve">Retention enforcement:</w:t>
      </w:r>
      <w:r>
        <w:t xml:space="preserve"> encode the Code-of-Conduct schedule (settled defaults on a three-year rule, insolvency data at six months post-CJEU) and flag anything overdue; build the individualised case the BGH now demands rather than the blanket promises "Schufa-cleanup" law firms sell for hundreds of euros a letter. </w:t>
      </w:r>
      <w:r>
        <w:rPr>
          <w:b/>
          <w:bCs/>
        </w:rPr>
        <w:t xml:space="preserve">Inquiry hygiene:</w:t>
      </w:r>
      <w:r>
        <w:t xml:space="preserve"> distinguish the score-neutral Konditionsanfrage from the stored Kreditanfrage — inquiries are a 117-point criterion — and dispute wrongly-typed ones. </w:t>
      </w:r>
      <w:r>
        <w:rPr>
          <w:b/>
          <w:bCs/>
        </w:rPr>
        <w:t xml:space="preserve">Explanation on demand:</w:t>
      </w:r>
      <w:r>
        <w:t xml:space="preserve"> after an adverse decision, a one-click Article 15(1)(h) / C-203/22 request for "the procedure and principles actually applied." The framing is accuracy, timing and informed choice throughout — never a promised number, never manipulation.</w:t>
      </w:r>
    </w:p>
    <w:p>
      <w:pPr>
        <w:pStyle w:val="Heading2"/>
      </w:pPr>
      <w:r>
        <w:t xml:space="preserve">9.4 The shared engine and supporting capabilities</w:t>
      </w:r>
    </w:p>
    <w:p>
      <w:pPr>
        <w:spacing w:after="160" w:line="276" w:lineRule="auto"/>
      </w:pPr>
      <w:r>
        <w:t xml:space="preserve">All three modules draw on the same primitives, which is what makes the unit economics work (section 11). </w:t>
      </w:r>
      <w:r>
        <w:rPr>
          <w:b/>
          <w:bCs/>
        </w:rPr>
        <w:t xml:space="preserve">Data Radar</w:t>
      </w:r>
      <w:r>
        <w:t xml:space="preserve"> — the intake, breach-presence and exposure map — becomes the shared "what do we know about you" surface that seeds all three modules. </w:t>
      </w:r>
      <w:r>
        <w:rPr>
          <w:b/>
          <w:bCs/>
        </w:rPr>
        <w:t xml:space="preserve">Alias issuance</w:t>
      </w:r>
      <w:r>
        <w:t xml:space="preserve"> (email on Scraper-controlled domains, forwarding, burn) is the prevention primitive under Fraud Shield, split out from the deferred attribution graph. The </w:t>
      </w:r>
      <w:r>
        <w:rPr>
          <w:b/>
          <w:bCs/>
        </w:rPr>
        <w:t xml:space="preserve">census</w:t>
      </w:r>
      <w:r>
        <w:t xml:space="preserve"> now carries, per bureau, the verified DPO intake, the ID packet each accepts, the response norms, and the seat authority — the "make yes cheap" intelligence of section 10’s Tier 2. And the </w:t>
      </w:r>
      <w:r>
        <w:rPr>
          <w:b/>
          <w:bCs/>
        </w:rPr>
        <w:t xml:space="preserve">evidence ledger</w:t>
      </w:r>
      <w:r>
        <w:t xml:space="preserve"> underwrites every claim the product makes, because in this category the scarce asset is verified outcomes, not requests sent.</w:t>
      </w:r>
    </w:p>
    <w:p>
      <w:pPr>
        <w:pStyle w:val="Heading2"/>
      </w:pPr>
      <w:r>
        <w:t xml:space="preserve">9.5 Usability is a launch gate, not a polish pass</w:t>
      </w:r>
    </w:p>
    <w:p>
      <w:pPr>
        <w:spacing w:after="160" w:line="276" w:lineRule="auto"/>
      </w:pPr>
      <w:r>
        <w:t xml:space="preserve">If the thesis is that bureaucracy is the pain point, the product cannot itself feel like bureaucracy. The standard is explicit and testable: </w:t>
      </w:r>
      <w:r>
        <w:rPr>
          <w:b/>
          <w:bCs/>
        </w:rPr>
        <w:t xml:space="preserve">any German adult, of any background — including those with low German literacy, low digital confidence, or no idea what a credit bureau is — must understand the risk, the benefit and their next action from visual cues and a guided flow alone, never from a written tutorial or a wall of legal text.</w:t>
      </w:r>
      <w:r>
        <w:t xml:space="preserve"> This is treated as a launch gate with the same weight as the security gates in section 11. Five concrete requirements follow. </w:t>
      </w:r>
      <w:r>
        <w:rPr>
          <w:b/>
          <w:bCs/>
        </w:rPr>
        <w:t xml:space="preserve">Show, don’t tell:</w:t>
      </w:r>
      <w:r>
        <w:t xml:space="preserve"> every screen leads with a picture of the situation — a simple diagram of "your data went from this broker to this bureau to this lender", a red/amber/green file-health dial, a map of who holds what — before any words. </w:t>
      </w:r>
      <w:r>
        <w:rPr>
          <w:b/>
          <w:bCs/>
        </w:rPr>
        <w:t xml:space="preserve">One decision per screen:</w:t>
      </w:r>
      <w:r>
        <w:t xml:space="preserve"> the interface asks a single, plain-language question at a time ("Möchten Sie diese Firma auffordern, Ihre Daten zu löschen?") with a clear default, never a form. </w:t>
      </w:r>
      <w:r>
        <w:rPr>
          <w:b/>
          <w:bCs/>
        </w:rPr>
        <w:t xml:space="preserve">Progress you can see:</w:t>
      </w:r>
      <w:r>
        <w:t xml:space="preserve"> each rights request renders as a visual pipeline (sent → clock running → replied → resolved) with the statutory deadline shown as a countdown, so a user always knows where a case stands without reading a status code. </w:t>
      </w:r>
      <w:r>
        <w:rPr>
          <w:b/>
          <w:bCs/>
        </w:rPr>
        <w:t xml:space="preserve">Plain-language everywhere, with a jargon toggle:</w:t>
      </w:r>
      <w:r>
        <w:t xml:space="preserve"> German at roughly B1 reading level by default (Leichte Sprache option), with every legal term (Bonität, Auskunftei, Widerspruch) one tap from a one-sentence explanation. </w:t>
      </w:r>
      <w:r>
        <w:rPr>
          <w:b/>
          <w:bCs/>
        </w:rPr>
        <w:t xml:space="preserve">Accessibility as a floor:</w:t>
      </w:r>
      <w:r>
        <w:t xml:space="preserve"> WCAG 2.2 AA, full screen-reader support, large-text and high-contrast modes, and a flow that works one-handed on a mid-range Android phone — because the users most harmed by a wrecked Schufa file are least likely to be on the latest hardware. The build brief operationalises this as user-action-flow diagrams and visual components delivered as first-class artifacts and gated before launch — after the functional core works, but before real users touch it — and as a usability check in the definition of done for every module.</w:t>
      </w:r>
    </w:p>
    <w:p>
      <w:pPr>
        <w:pStyle w:val="Heading1"/>
      </w:pPr>
      <w:r>
        <w:t xml:space="preserve">10. The leverage ladder: non-legal routes to deletion</w:t>
      </w:r>
    </w:p>
    <w:p>
      <w:pPr>
        <w:spacing w:after="160" w:line="276" w:lineRule="auto"/>
      </w:pPr>
      <w:r>
        <w:t xml:space="preserve">The legal instruments — Article 17 erasure, Article 21 objection, Article 77 complaints — are artillery: powerful, slow, and expensive to fire. They are the right tool for high-harm data and the wrong tool for a marketing list. This section states the operating doctrine that sits underneath the engine in section 11, and it begins with a reframe that changes where the money goes: </w:t>
      </w:r>
      <w:r>
        <w:rPr>
          <w:b/>
          <w:bCs/>
        </w:rPr>
        <w:t xml:space="preserve">consumer welfare is not the same as deletion count.</w:t>
      </w:r>
      <w:r>
        <w:t xml:space="preserve"> Deletions are the costly, low-yield tail — incumbents land roughly 35% of them at four months. The cheapest welfare comes from data the broker never receives, and from data that has decayed into something their own systems discard. The pivot does not weaken this doctrine; it sharpens where the artillery points — at the credit-data supply chain, where the harm is measured in loan refusals rather than junk mail.</w:t>
      </w:r>
    </w:p>
    <w:p>
      <w:pPr>
        <w:spacing w:after="160" w:line="276" w:lineRule="auto"/>
      </w:pPr>
      <w:r>
        <w:t xml:space="preserve">A company deletes without a lawyer in the loop when one of four conditions holds: complying is cheaper than refusing; refusing costs them reputation; the user pulled one of their own off-switches, so there is nothing to refuse; or the record has rotted into junk their own hygiene prunes. Every rung below engineers one of those conditions, and they are ordered by welfare protected per euro spent.</w:t>
      </w:r>
    </w:p>
    <w:p>
      <w:pPr>
        <w:spacing w:after="160" w:line="276" w:lineRule="auto"/>
      </w:pPr>
      <w:r>
        <w:rPr>
          <w:b/>
          <w:bCs/>
        </w:rPr>
        <w:t xml:space="preserve">Tier 0 — Prevention.</w:t>
      </w:r>
      <w:r>
        <w:t xml:space="preserve"> Every signup routed through an alias email, a masked forwarding number, a virtual card and (where warranted) a maildrop makes the broker’s next data pull on that person a dead end. This caps the exposure curve permanently, at a marginal cost in cents, and it is the one rung that never needs a counterparty to agree. It ships with the honest caveat from section 5: aliases can cause checkout declines, so the product warns before it recommends.</w:t>
      </w:r>
    </w:p>
    <w:p>
      <w:pPr>
        <w:spacing w:after="160" w:line="276" w:lineRule="auto"/>
      </w:pPr>
      <w:r>
        <w:rPr>
          <w:b/>
          <w:bCs/>
        </w:rPr>
        <w:t xml:space="preserve">Tier 1 — Source suppression and the company’s own off-switches.</w:t>
      </w:r>
      <w:r>
        <w:t xml:space="preserve"> Rather than chase every downstream broker, hit the upstream pipes and the switches that already exist: the DDV Robinsonliste, the DAA/Your Online Choices advertising opt-outs, consent withdrawal and advertising-ID resets — honoured voluntarily because they are the industry’s own governance — and, highest-success of all, a company’s own account-deletion page and preference centre, where there is nothing to refuse. The engineering asset is a curated, auto-filled directory of self-serve routes. Provenance adds a supply-chain-specific rung here: objecting at the named broker (AZ Direct, Acxiom, Deutsche Post Direkt) cuts the bureau’s refill at the source.</w:t>
      </w:r>
    </w:p>
    <w:p>
      <w:pPr>
        <w:spacing w:after="160" w:line="276" w:lineRule="auto"/>
      </w:pPr>
      <w:r>
        <w:rPr>
          <w:b/>
          <w:bCs/>
        </w:rPr>
        <w:t xml:space="preserve">Tier 2 — Make "yes" the cheap option.</w:t>
      </w:r>
      <w:r>
        <w:t xml:space="preserve"> Refusals cluster around identity-verification friction and misrouted requests, so remove the friction on the controller’s side: perfectly formatted requests to the real DPO intake, with a pre-verified identity packet already attached in the format that controller accepts. The longer play is a whitelisted agent channel a bureau’s privacy team learns to trust and batch-process. Relationship capital is built once per controller and amortises across every user.</w:t>
      </w:r>
    </w:p>
    <w:p>
      <w:pPr>
        <w:spacing w:after="160" w:line="276" w:lineRule="auto"/>
      </w:pPr>
      <w:r>
        <w:rPr>
          <w:b/>
          <w:bCs/>
        </w:rPr>
        <w:t xml:space="preserve">Tier 3 — Reputational cost.</w:t>
      </w:r>
      <w:r>
        <w:t xml:space="preserve"> The facts-only provenance and compliance scoreboard: how each bureau answers the same lawful Article 15(1)(g) question, median response time, silence rate — self-evidenced from the timestamped ledger, with a documented methodology and right of reply (defamation/UWG discipline, section 11.2). A researcher and journalist pipeline sits alongside it; the Datenlieferanten and Schattendatenbank stories show the press appetite is already there.</w:t>
      </w:r>
    </w:p>
    <w:p>
      <w:pPr>
        <w:spacing w:after="160" w:line="276" w:lineRule="auto"/>
      </w:pPr>
      <w:r>
        <w:rPr>
          <w:b/>
          <w:bCs/>
        </w:rPr>
        <w:t xml:space="preserve">Tier 4 — Degradation when deletion fails.</w:t>
      </w:r>
      <w:r>
        <w:t xml:space="preserve"> Where a broker will not delete, steering future contact through user-owned aliases lets the record go stale until the broker’s own hygiene discards it. The ethical line is bright and non-negotiable: degradation means redirecting real flow to channels the user controls; it never means submitting false identity, address or financial data (Article 5(1)(d), and in a credit context it would harm the user far more than the broker).</w:t>
      </w:r>
    </w:p>
    <w:p>
      <w:pPr>
        <w:spacing w:after="160" w:line="276" w:lineRule="auto"/>
      </w:pPr>
      <w:r>
        <w:rPr>
          <w:b/>
          <w:bCs/>
        </w:rPr>
        <w:t xml:space="preserve">Tier 5 — Collective leverage.</w:t>
      </w:r>
      <w:r>
        <w:t xml:space="preserve"> Aggregated demand is the rung with negative marginal cost: each additional user makes every other user’s requests cheaper and the scoreboard more credible. A large verified base justifies a bureau building self-serve intake, interests the press, and creates standing to negotiate ongoing arrangements. It is also the moat — a competitor can copy a playbook, not a base of accumulated channel relationships.</w:t>
      </w:r>
    </w:p>
    <w:p>
      <w:pPr>
        <w:spacing w:after="100"/>
      </w:pPr>
      <w:r>
        <w:t xml:space="preserve">The ladder, priced. Cost figures are order-of-magnitude estimates for planning, not quotes.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0"/>
        <w:gridCol w:w="3250"/>
        <w:gridCol w:w="1750"/>
        <w:gridCol w:w="3496"/>
      </w:tblGrid>
      <w:tr>
        <w:trPr>
          <w:cantSplit/>
          <w:tblHeader/>
        </w:trPr>
        <w:tc>
          <w:tcPr>
            <w:tcW w:type="dxa" w:w="125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Tier</w:t>
            </w:r>
          </w:p>
        </w:tc>
        <w:tc>
          <w:tcPr>
            <w:tcW w:type="dxa" w:w="325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Mechanism</w:t>
            </w:r>
          </w:p>
        </w:tc>
        <w:tc>
          <w:tcPr>
            <w:tcW w:type="dxa" w:w="175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Marginal cost</w:t>
            </w:r>
          </w:p>
        </w:tc>
        <w:tc>
          <w:tcPr>
            <w:tcW w:type="dxa" w:w="3496"/>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Where it lives</w:t>
            </w:r>
          </w:p>
        </w:tc>
      </w:tr>
      <w:tr>
        <w:trPr>
          <w:cantSplit/>
        </w:trPr>
        <w:tc>
          <w:tcPr>
            <w:tcW w:type="dxa" w:w="1250"/>
            <w:tcMar>
              <w:top w:type="dxa" w:w="70"/>
              <w:left w:type="dxa" w:w="100"/>
              <w:bottom w:type="dxa" w:w="70"/>
              <w:right w:type="dxa" w:w="100"/>
            </w:tcMar>
            <w:vAlign w:val="center"/>
          </w:tcPr>
          <w:p>
            <w:pPr>
              <w:spacing w:after="0" w:line="250" w:lineRule="auto"/>
            </w:pPr>
            <w:r>
              <w:rPr>
                <w:b w:val="false"/>
                <w:bCs w:val="false"/>
                <w:sz w:val="16"/>
                <w:szCs w:val="16"/>
              </w:rPr>
              <w:t xml:space="preserve">0 · Prevent</w:t>
            </w:r>
          </w:p>
        </w:tc>
        <w:tc>
          <w:tcPr>
            <w:tcW w:type="dxa" w:w="3250"/>
            <w:tcMar>
              <w:top w:type="dxa" w:w="70"/>
              <w:left w:type="dxa" w:w="100"/>
              <w:bottom w:type="dxa" w:w="70"/>
              <w:right w:type="dxa" w:w="100"/>
            </w:tcMar>
            <w:vAlign w:val="center"/>
          </w:tcPr>
          <w:p>
            <w:pPr>
              <w:spacing w:after="0" w:line="250" w:lineRule="auto"/>
            </w:pPr>
            <w:r>
              <w:rPr>
                <w:b w:val="false"/>
                <w:bCs w:val="false"/>
                <w:sz w:val="16"/>
                <w:szCs w:val="16"/>
              </w:rPr>
              <w:t xml:space="preserve">Alias email, masked number, virtual card, maildrop on new signups</w:t>
            </w:r>
          </w:p>
        </w:tc>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&lt;€0.10 / user / month</w:t>
            </w:r>
          </w:p>
        </w:tc>
        <w:tc>
          <w:tcPr>
            <w:tcW w:type="dxa" w:w="3496"/>
            <w:tcMar>
              <w:top w:type="dxa" w:w="70"/>
              <w:left w:type="dxa" w:w="100"/>
              <w:bottom w:type="dxa" w:w="70"/>
              <w:right w:type="dxa" w:w="100"/>
            </w:tcMar>
            <w:vAlign w:val="center"/>
          </w:tcPr>
          <w:p>
            <w:pPr>
              <w:spacing w:after="0" w:line="250" w:lineRule="auto"/>
            </w:pPr>
            <w:r>
              <w:rPr>
                <w:b w:val="false"/>
                <w:bCs w:val="false"/>
                <w:sz w:val="16"/>
                <w:szCs w:val="16"/>
              </w:rPr>
              <w:t xml:space="preserve">Fraud Shield + alias pool</w:t>
            </w:r>
          </w:p>
        </w:tc>
      </w:tr>
      <w:tr>
        <w:trPr>
          <w:cantSplit/>
        </w:trPr>
        <w:tc>
          <w:tcPr>
            <w:tcW w:type="dxa" w:w="12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1 · Suppress</w:t>
            </w:r>
          </w:p>
        </w:tc>
        <w:tc>
          <w:tcPr>
            <w:tcW w:type="dxa" w:w="32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Robinsonliste, DAA/YOC opt-outs, consent withdrawal, ad-ID reset, the company’s own deletion &amp; preference centres, broker objection</w:t>
            </w:r>
          </w:p>
        </w:tc>
        <w:tc>
          <w:tcPr>
            <w:tcW w:type="dxa" w:w="17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Cents; directory built once</w:t>
            </w:r>
          </w:p>
        </w:tc>
        <w:tc>
          <w:tcPr>
            <w:tcW w:type="dxa" w:w="349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File Fixer L0 + self-serve directory</w:t>
            </w:r>
          </w:p>
        </w:tc>
      </w:tr>
      <w:tr>
        <w:trPr>
          <w:cantSplit/>
        </w:trPr>
        <w:tc>
          <w:tcPr>
            <w:tcW w:type="dxa" w:w="1250"/>
            <w:tcMar>
              <w:top w:type="dxa" w:w="70"/>
              <w:left w:type="dxa" w:w="100"/>
              <w:bottom w:type="dxa" w:w="70"/>
              <w:right w:type="dxa" w:w="100"/>
            </w:tcMar>
            <w:vAlign w:val="center"/>
          </w:tcPr>
          <w:p>
            <w:pPr>
              <w:spacing w:after="0" w:line="250" w:lineRule="auto"/>
            </w:pPr>
            <w:r>
              <w:rPr>
                <w:b w:val="false"/>
                <w:bCs w:val="false"/>
                <w:sz w:val="16"/>
                <w:szCs w:val="16"/>
              </w:rPr>
              <w:t xml:space="preserve">2 · Cheap yes</w:t>
            </w:r>
          </w:p>
        </w:tc>
        <w:tc>
          <w:tcPr>
            <w:tcW w:type="dxa" w:w="3250"/>
            <w:tcMar>
              <w:top w:type="dxa" w:w="70"/>
              <w:left w:type="dxa" w:w="100"/>
              <w:bottom w:type="dxa" w:w="70"/>
              <w:right w:type="dxa" w:w="100"/>
            </w:tcMar>
            <w:vAlign w:val="center"/>
          </w:tcPr>
          <w:p>
            <w:pPr>
              <w:spacing w:after="0" w:line="250" w:lineRule="auto"/>
            </w:pPr>
            <w:r>
              <w:rPr>
                <w:b w:val="false"/>
                <w:bCs w:val="false"/>
                <w:sz w:val="16"/>
                <w:szCs w:val="16"/>
              </w:rPr>
              <w:t xml:space="preserve">Correct DPO routing, pre-verified identity packet, per-bureau preferred format, whitelisted agent channel</w:t>
            </w:r>
          </w:p>
        </w:tc>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One-time build per controller</w:t>
            </w:r>
          </w:p>
        </w:tc>
        <w:tc>
          <w:tcPr>
            <w:tcW w:type="dxa" w:w="3496"/>
            <w:tcMar>
              <w:top w:type="dxa" w:w="70"/>
              <w:left w:type="dxa" w:w="100"/>
              <w:bottom w:type="dxa" w:w="70"/>
              <w:right w:type="dxa" w:w="100"/>
            </w:tcMar>
            <w:vAlign w:val="center"/>
          </w:tcPr>
          <w:p>
            <w:pPr>
              <w:spacing w:after="0" w:line="250" w:lineRule="auto"/>
            </w:pPr>
            <w:r>
              <w:rPr>
                <w:b w:val="false"/>
                <w:bCs w:val="false"/>
                <w:sz w:val="16"/>
                <w:szCs w:val="16"/>
              </w:rPr>
              <w:t xml:space="preserve">Controller Gateway</w:t>
            </w:r>
          </w:p>
        </w:tc>
      </w:tr>
      <w:tr>
        <w:trPr>
          <w:cantSplit/>
        </w:trPr>
        <w:tc>
          <w:tcPr>
            <w:tcW w:type="dxa" w:w="12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3 · Reputation</w:t>
            </w:r>
          </w:p>
        </w:tc>
        <w:tc>
          <w:tcPr>
            <w:tcW w:type="dxa" w:w="32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Facts-only provenance &amp; compliance scoreboard, journalist pipeline, aggregate demand nudge</w:t>
            </w:r>
          </w:p>
        </w:tc>
        <w:tc>
          <w:tcPr>
            <w:tcW w:type="dxa" w:w="17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≈Free once the evidence ledger exists</w:t>
            </w:r>
          </w:p>
        </w:tc>
        <w:tc>
          <w:tcPr>
            <w:tcW w:type="dxa" w:w="349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Provenance + public scoreboard</w:t>
            </w:r>
          </w:p>
        </w:tc>
      </w:tr>
      <w:tr>
        <w:trPr>
          <w:cantSplit/>
        </w:trPr>
        <w:tc>
          <w:tcPr>
            <w:tcW w:type="dxa" w:w="1250"/>
            <w:tcMar>
              <w:top w:type="dxa" w:w="70"/>
              <w:left w:type="dxa" w:w="100"/>
              <w:bottom w:type="dxa" w:w="70"/>
              <w:right w:type="dxa" w:w="100"/>
            </w:tcMar>
            <w:vAlign w:val="center"/>
          </w:tcPr>
          <w:p>
            <w:pPr>
              <w:spacing w:after="0" w:line="250" w:lineRule="auto"/>
            </w:pPr>
            <w:r>
              <w:rPr>
                <w:b w:val="false"/>
                <w:bCs w:val="false"/>
                <w:sz w:val="16"/>
                <w:szCs w:val="16"/>
              </w:rPr>
              <w:t xml:space="preserve">4 · Degrade</w:t>
            </w:r>
          </w:p>
        </w:tc>
        <w:tc>
          <w:tcPr>
            <w:tcW w:type="dxa" w:w="3250"/>
            <w:tcMar>
              <w:top w:type="dxa" w:w="70"/>
              <w:left w:type="dxa" w:w="100"/>
              <w:bottom w:type="dxa" w:w="70"/>
              <w:right w:type="dxa" w:w="100"/>
            </w:tcMar>
            <w:vAlign w:val="center"/>
          </w:tcPr>
          <w:p>
            <w:pPr>
              <w:spacing w:after="0" w:line="250" w:lineRule="auto"/>
            </w:pPr>
            <w:r>
              <w:rPr>
                <w:b w:val="false"/>
                <w:bCs w:val="false"/>
                <w:sz w:val="16"/>
                <w:szCs w:val="16"/>
              </w:rPr>
              <w:t xml:space="preserve">Redirect future flow to owned channels, restriction/correction flag — never false data</w:t>
            </w:r>
          </w:p>
        </w:tc>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Pennies per user</w:t>
            </w:r>
          </w:p>
        </w:tc>
        <w:tc>
          <w:tcPr>
            <w:tcW w:type="dxa" w:w="3496"/>
            <w:tcMar>
              <w:top w:type="dxa" w:w="70"/>
              <w:left w:type="dxa" w:w="100"/>
              <w:bottom w:type="dxa" w:w="70"/>
              <w:right w:type="dxa" w:w="100"/>
            </w:tcMar>
            <w:vAlign w:val="center"/>
          </w:tcPr>
          <w:p>
            <w:pPr>
              <w:spacing w:after="0" w:line="250" w:lineRule="auto"/>
            </w:pPr>
            <w:r>
              <w:rPr>
                <w:b w:val="false"/>
                <w:bCs w:val="false"/>
                <w:sz w:val="16"/>
                <w:szCs w:val="16"/>
              </w:rPr>
              <w:t xml:space="preserve">Fraud Shield + File Fixer</w:t>
            </w:r>
          </w:p>
        </w:tc>
      </w:tr>
      <w:tr>
        <w:trPr>
          <w:cantSplit/>
        </w:trPr>
        <w:tc>
          <w:tcPr>
            <w:tcW w:type="dxa" w:w="12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5 · Collective</w:t>
            </w:r>
          </w:p>
        </w:tc>
        <w:tc>
          <w:tcPr>
            <w:tcW w:type="dxa" w:w="32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Aggregated demand → bureau self-serve intake, standing arrangements</w:t>
            </w:r>
          </w:p>
        </w:tc>
        <w:tc>
          <w:tcPr>
            <w:tcW w:type="dxa" w:w="17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Negative at scale</w:t>
            </w:r>
          </w:p>
        </w:tc>
        <w:tc>
          <w:tcPr>
            <w:tcW w:type="dxa" w:w="349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Business development + census</w:t>
            </w:r>
          </w:p>
        </w:tc>
      </w:tr>
      <w:tr>
        <w:trPr>
          <w:cantSplit/>
        </w:trPr>
        <w:tc>
          <w:tcPr>
            <w:tcW w:type="dxa" w:w="1250"/>
            <w:tcMar>
              <w:top w:type="dxa" w:w="70"/>
              <w:left w:type="dxa" w:w="100"/>
              <w:bottom w:type="dxa" w:w="70"/>
              <w:right w:type="dxa" w:w="100"/>
            </w:tcMar>
            <w:vAlign w:val="center"/>
          </w:tcPr>
          <w:p>
            <w:pPr>
              <w:spacing w:after="0" w:line="250" w:lineRule="auto"/>
            </w:pPr>
            <w:r>
              <w:rPr>
                <w:b w:val="false"/>
                <w:bCs w:val="false"/>
                <w:sz w:val="16"/>
                <w:szCs w:val="16"/>
              </w:rPr>
              <w:t xml:space="preserve">Legal</w:t>
            </w:r>
          </w:p>
        </w:tc>
        <w:tc>
          <w:tcPr>
            <w:tcW w:type="dxa" w:w="3250"/>
            <w:tcMar>
              <w:top w:type="dxa" w:w="70"/>
              <w:left w:type="dxa" w:w="100"/>
              <w:bottom w:type="dxa" w:w="70"/>
              <w:right w:type="dxa" w:w="100"/>
            </w:tcMar>
            <w:vAlign w:val="center"/>
          </w:tcPr>
          <w:p>
            <w:pPr>
              <w:spacing w:after="0" w:line="250" w:lineRule="auto"/>
            </w:pPr>
            <w:r>
              <w:rPr>
                <w:b w:val="false"/>
                <w:bCs w:val="false"/>
                <w:sz w:val="16"/>
                <w:szCs w:val="16"/>
              </w:rPr>
              <w:t xml:space="preserve">Art 15(1)(g) provenance, Art 17 / Art 21 escalation, Art 77 complaints</w:t>
            </w:r>
          </w:p>
        </w:tc>
        <w:tc>
          <w:tcPr>
            <w:tcW w:type="dxa" w:w="1750"/>
            <w:tcMar>
              <w:top w:type="dxa" w:w="70"/>
              <w:left w:type="dxa" w:w="100"/>
              <w:bottom w:type="dxa" w:w="70"/>
              <w:right w:type="dxa" w:w="100"/>
            </w:tcMar>
            <w:vAlign w:val="center"/>
          </w:tcPr>
          <w:p>
            <w:pPr>
              <w:spacing w:after="0" w:line="250" w:lineRule="auto"/>
            </w:pPr>
            <w:r>
              <w:rPr>
                <w:b w:val="false"/>
                <w:bCs w:val="false"/>
                <w:sz w:val="16"/>
                <w:szCs w:val="16"/>
              </w:rPr>
              <w:t xml:space="preserve">€5–15 per contested postal action</w:t>
            </w:r>
          </w:p>
        </w:tc>
        <w:tc>
          <w:tcPr>
            <w:tcW w:type="dxa" w:w="3496"/>
            <w:tcMar>
              <w:top w:type="dxa" w:w="70"/>
              <w:left w:type="dxa" w:w="100"/>
              <w:bottom w:type="dxa" w:w="70"/>
              <w:right w:type="dxa" w:w="100"/>
            </w:tcMar>
            <w:vAlign w:val="center"/>
          </w:tcPr>
          <w:p>
            <w:pPr>
              <w:spacing w:after="0" w:line="250" w:lineRule="auto"/>
            </w:pPr>
            <w:r>
              <w:rPr>
                <w:b w:val="false"/>
                <w:bCs w:val="false"/>
                <w:sz w:val="16"/>
                <w:szCs w:val="16"/>
              </w:rPr>
              <w:t xml:space="preserve">The rights engine — aimed at the supply chain</w:t>
            </w:r>
          </w:p>
        </w:tc>
      </w:tr>
    </w:tbl>
    <w:p>
      <w:pPr>
        <w:spacing w:after="160" w:line="276" w:lineRule="auto"/>
      </w:pPr>
      <w:r>
        <w:rPr>
          <w:b/>
          <w:bCs/>
        </w:rPr>
        <w:t xml:space="preserve">The spend policy.</w:t>
      </w:r>
      <w:r>
        <w:t xml:space="preserve"> Prevention and source suppression run for every user by default. Making compliance cheap is a one-time engineering investment funded early. Reputation is a near-free public good once the ledger exists. The expensive, hands-on effort — and the legal artillery — is reserved for data that can actually hurt someone: the broker-sourced scoring layer, fraud-caused negative entries, and the credit file itself. Each tier is instrumented separately, outcomes per euro, so budget moves to whichever rung is actually protecting welfare — which is also the honest answer to the category’s credibility problem: incumbents report requests sent, an input; Scraper reports verified outcomes, the thing the user is buying.</w:t>
      </w:r>
    </w:p>
    <w:p>
      <w:pPr>
        <w:pStyle w:val="Heading1"/>
      </w:pPr>
      <w:r>
        <w:t xml:space="preserve">11. Architecture, efficiency, and security hardening</w:t>
      </w:r>
    </w:p>
    <w:p>
      <w:pPr>
        <w:spacing w:after="160" w:line="276" w:lineRule="auto"/>
      </w:pPr>
      <w:r>
        <w:t xml:space="preserve">This section states the efficiency architecture, then the security, safety and compliance hardening that an independent adversarial review made non-negotiable. The two are inseparable. The same proactive-access machinery that makes the product cheap — enter a name, pull the dossier, act on it — is also, if identity is not bound tightly, the exact workflow a stalker uses to locate a victim. The cost engine and the safety engine therefore have to be designed together, and the review below reshaped the roadmap (section 15) accordingly.</w:t>
      </w:r>
    </w:p>
    <w:p>
      <w:pPr>
        <w:pStyle w:val="Heading2"/>
      </w:pPr>
      <w:r>
        <w:t xml:space="preserve">11.1 Efficiency: amortise the expensive, meter the cheap</w:t>
      </w:r>
    </w:p>
    <w:p>
      <w:pPr>
        <w:spacing w:after="160" w:line="276" w:lineRule="auto"/>
      </w:pPr>
      <w:r>
        <w:t xml:space="preserve">The unit-economics thesis in one sentence: </w:t>
      </w:r>
      <w:r>
        <w:rPr>
          <w:b/>
          <w:bCs/>
        </w:rPr>
        <w:t xml:space="preserve">everything expensive is done once per controller or site and amortised across all users; per-user marginal work is done by cheap models, rules and rails.</w:t>
      </w:r>
      <w:r>
        <w:t xml:space="preserve"> Five subsystems carry it. The </w:t>
      </w:r>
      <w:r>
        <w:rPr>
          <w:b/>
          <w:bCs/>
        </w:rPr>
        <w:t xml:space="preserve">census</w:t>
      </w:r>
      <w:r>
        <w:t xml:space="preserve"> — controllers, channels, forms, legal bases, response norms, per-broker compliance stats — is the proprietary moat; no EU registry exists to copy it from, and every user interaction enriches it. The </w:t>
      </w:r>
      <w:r>
        <w:rPr>
          <w:b/>
          <w:bCs/>
        </w:rPr>
        <w:t xml:space="preserve">orchestrator</w:t>
      </w:r>
      <w:r>
        <w:t xml:space="preserve"> treats every rights-action as a ticket with a statutory clock (send → response due → verify → escalate), which is what makes escalation systematic instead of heroic. The </w:t>
      </w:r>
      <w:r>
        <w:rPr>
          <w:b/>
          <w:bCs/>
        </w:rPr>
        <w:t xml:space="preserve">LLM layer</w:t>
      </w:r>
      <w:r>
        <w:t xml:space="preserve"> is tiered: small models parse responses and classify at volume, agents and large models are reserved for the interactive tail and the legal case-builder. The </w:t>
      </w:r>
      <w:r>
        <w:rPr>
          <w:b/>
          <w:bCs/>
        </w:rPr>
        <w:t xml:space="preserve">evidence store</w:t>
      </w:r>
      <w:r>
        <w:t xml:space="preserve"> hash-chains every screenshot and letter so results are auditable years later. The </w:t>
      </w:r>
      <w:r>
        <w:rPr>
          <w:b/>
          <w:bCs/>
        </w:rPr>
        <w:t xml:space="preserve">trust envelope</w:t>
      </w:r>
      <w:r>
        <w:t xml:space="preserve"> wraps all of it: EU hosting, data minimisation, client-side-first processing, no resale ever, transparency reports, third-party attestation of removal counts (the pattern Incogni set with Deloitte), and an open-source extension client.</w:t>
      </w:r>
    </w:p>
    <w:p>
      <w:pPr>
        <w:spacing w:after="100"/>
      </w:pPr>
      <w:r>
        <w:t xml:space="preserve">Efficiency targets, with the benchmark each is set against: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4246"/>
      </w:tblGrid>
      <w:tr>
        <w:trPr>
          <w:cantSplit/>
          <w:tblHeader/>
        </w:trPr>
        <w:tc>
          <w:tcPr>
            <w:tcW w:type="dxa" w:w="3300"/>
            <w:shd w:fill="1F3A5F" w:color="auto" w:val="clear"/>
            <w:tcMar>
              <w:top w:type="dxa" w:w="70"/>
              <w:left w:type="dxa" w:w="100"/>
              <w:bottom w:type="dxa" w:w="70"/>
              <w:right w:type="dxa" w:w="100"/>
            </w:tcMar>
            <w:vAlign w:val="center"/>
          </w:tcPr>
          <w:p>
            <w:pPr>
              <w:spacing w:after="0" w:line="250" w:lineRule="auto"/>
            </w:pPr>
            <w:r>
              <w:rPr>
                <w:b/>
                <w:bCs/>
                <w:color w:val="FFFFFF"/>
                <w:sz w:val="17"/>
                <w:szCs w:val="17"/>
              </w:rPr>
              <w:t xml:space="preserve">Metric</w:t>
            </w:r>
          </w:p>
        </w:tc>
        <w:tc>
          <w:tcPr>
            <w:tcW w:type="dxa" w:w="2200"/>
            <w:shd w:fill="1F3A5F" w:color="auto" w:val="clear"/>
            <w:tcMar>
              <w:top w:type="dxa" w:w="70"/>
              <w:left w:type="dxa" w:w="100"/>
              <w:bottom w:type="dxa" w:w="70"/>
              <w:right w:type="dxa" w:w="100"/>
            </w:tcMar>
            <w:vAlign w:val="center"/>
          </w:tcPr>
          <w:p>
            <w:pPr>
              <w:spacing w:after="0" w:line="250" w:lineRule="auto"/>
            </w:pPr>
            <w:r>
              <w:rPr>
                <w:b/>
                <w:bCs/>
                <w:color w:val="FFFFFF"/>
                <w:sz w:val="17"/>
                <w:szCs w:val="17"/>
              </w:rPr>
              <w:t xml:space="preserve">Target</w:t>
            </w:r>
          </w:p>
        </w:tc>
        <w:tc>
          <w:tcPr>
            <w:tcW w:type="dxa" w:w="4246"/>
            <w:shd w:fill="1F3A5F" w:color="auto" w:val="clear"/>
            <w:tcMar>
              <w:top w:type="dxa" w:w="70"/>
              <w:left w:type="dxa" w:w="100"/>
              <w:bottom w:type="dxa" w:w="70"/>
              <w:right w:type="dxa" w:w="100"/>
            </w:tcMar>
            <w:vAlign w:val="center"/>
          </w:tcPr>
          <w:p>
            <w:pPr>
              <w:spacing w:after="0" w:line="250" w:lineRule="auto"/>
            </w:pPr>
            <w:r>
              <w:rPr>
                <w:b/>
                <w:bCs/>
                <w:color w:val="FFFFFF"/>
                <w:sz w:val="17"/>
                <w:szCs w:val="17"/>
              </w:rPr>
              <w:t xml:space="preserve">Benchmark / rationale</w:t>
            </w:r>
          </w:p>
        </w:tc>
      </w:tr>
      <w:tr>
        <w:trPr>
          <w:cantSplit/>
        </w:trPr>
        <w:tc>
          <w:tcPr>
            <w:tcW w:type="dxa" w:w="3300"/>
            <w:tcMar>
              <w:top w:type="dxa" w:w="70"/>
              <w:left w:type="dxa" w:w="100"/>
              <w:bottom w:type="dxa" w:w="70"/>
              <w:right w:type="dxa" w:w="100"/>
            </w:tcMar>
            <w:vAlign w:val="center"/>
          </w:tcPr>
          <w:p>
            <w:pPr>
              <w:spacing w:after="0" w:line="250" w:lineRule="auto"/>
            </w:pPr>
            <w:r>
              <w:rPr>
                <w:b w:val="false"/>
                <w:bCs w:val="false"/>
                <w:sz w:val="17"/>
                <w:szCs w:val="17"/>
              </w:rPr>
              <w:t xml:space="preserve">Verified removal rate at 90 days</w:t>
            </w:r>
          </w:p>
        </w:tc>
        <w:tc>
          <w:tcPr>
            <w:tcW w:type="dxa" w:w="2200"/>
            <w:tcMar>
              <w:top w:type="dxa" w:w="70"/>
              <w:left w:type="dxa" w:w="100"/>
              <w:bottom w:type="dxa" w:w="70"/>
              <w:right w:type="dxa" w:w="100"/>
            </w:tcMar>
            <w:vAlign w:val="center"/>
          </w:tcPr>
          <w:p>
            <w:pPr>
              <w:spacing w:after="0" w:line="250" w:lineRule="auto"/>
            </w:pPr>
            <w:r>
              <w:rPr>
                <w:b w:val="false"/>
                <w:bCs w:val="false"/>
                <w:sz w:val="17"/>
                <w:szCs w:val="17"/>
              </w:rPr>
              <w:t xml:space="preserve">&gt;60%</w:t>
            </w:r>
          </w:p>
        </w:tc>
        <w:tc>
          <w:tcPr>
            <w:tcW w:type="dxa" w:w="4246"/>
            <w:tcMar>
              <w:top w:type="dxa" w:w="70"/>
              <w:left w:type="dxa" w:w="100"/>
              <w:bottom w:type="dxa" w:w="70"/>
              <w:right w:type="dxa" w:w="100"/>
            </w:tcMar>
            <w:vAlign w:val="center"/>
          </w:tcPr>
          <w:p>
            <w:pPr>
              <w:spacing w:after="0" w:line="250" w:lineRule="auto"/>
            </w:pPr>
            <w:r>
              <w:rPr>
                <w:b w:val="false"/>
                <w:bCs w:val="false"/>
                <w:sz w:val="17"/>
                <w:szCs w:val="17"/>
              </w:rPr>
              <w:t xml:space="preserve">Consumer Reports measured incumbents at 35% after 4 months; manual effort reached 70% in a week. Playbooks should approach manual quality at automated cost.</w:t>
            </w:r>
          </w:p>
        </w:tc>
      </w:tr>
      <w:tr>
        <w:trPr>
          <w:cantSplit/>
        </w:trPr>
        <w:tc>
          <w:tcPr>
            <w:tcW w:type="dxa" w:w="3300"/>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Time to first visible result</w:t>
            </w:r>
          </w:p>
        </w:tc>
        <w:tc>
          <w:tcPr>
            <w:tcW w:type="dxa" w:w="2200"/>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&lt;7 days</w:t>
            </w:r>
          </w:p>
        </w:tc>
        <w:tc>
          <w:tcPr>
            <w:tcW w:type="dxa" w:w="4246"/>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Matches the manual benchmark; critical for activation and churn.</w:t>
            </w:r>
          </w:p>
        </w:tc>
      </w:tr>
      <w:tr>
        <w:trPr>
          <w:cantSplit/>
        </w:trPr>
        <w:tc>
          <w:tcPr>
            <w:tcW w:type="dxa" w:w="3300"/>
            <w:tcMar>
              <w:top w:type="dxa" w:w="70"/>
              <w:left w:type="dxa" w:w="100"/>
              <w:bottom w:type="dxa" w:w="70"/>
              <w:right w:type="dxa" w:w="100"/>
            </w:tcMar>
            <w:vAlign w:val="center"/>
          </w:tcPr>
          <w:p>
            <w:pPr>
              <w:spacing w:after="0" w:line="250" w:lineRule="auto"/>
            </w:pPr>
            <w:r>
              <w:rPr>
                <w:b w:val="false"/>
                <w:bCs w:val="false"/>
                <w:sz w:val="17"/>
                <w:szCs w:val="17"/>
              </w:rPr>
              <w:t xml:space="preserve">Blended cost per completed removal</w:t>
            </w:r>
          </w:p>
        </w:tc>
        <w:tc>
          <w:tcPr>
            <w:tcW w:type="dxa" w:w="2200"/>
            <w:tcMar>
              <w:top w:type="dxa" w:w="70"/>
              <w:left w:type="dxa" w:w="100"/>
              <w:bottom w:type="dxa" w:w="70"/>
              <w:right w:type="dxa" w:w="100"/>
            </w:tcMar>
            <w:vAlign w:val="center"/>
          </w:tcPr>
          <w:p>
            <w:pPr>
              <w:spacing w:after="0" w:line="250" w:lineRule="auto"/>
            </w:pPr>
            <w:r>
              <w:rPr>
                <w:b w:val="false"/>
                <w:bCs w:val="false"/>
                <w:sz w:val="17"/>
                <w:szCs w:val="17"/>
              </w:rPr>
              <w:t xml:space="preserve">&lt;€0.50</w:t>
            </w:r>
          </w:p>
        </w:tc>
        <w:tc>
          <w:tcPr>
            <w:tcW w:type="dxa" w:w="4246"/>
            <w:tcMar>
              <w:top w:type="dxa" w:w="70"/>
              <w:left w:type="dxa" w:w="100"/>
              <w:bottom w:type="dxa" w:w="70"/>
              <w:right w:type="dxa" w:w="100"/>
            </w:tcMar>
            <w:vAlign w:val="center"/>
          </w:tcPr>
          <w:p>
            <w:pPr>
              <w:spacing w:after="0" w:line="250" w:lineRule="auto"/>
            </w:pPr>
            <w:r>
              <w:rPr>
                <w:b w:val="false"/>
                <w:bCs w:val="false"/>
                <w:sz w:val="17"/>
                <w:szCs w:val="17"/>
              </w:rPr>
              <w:t xml:space="preserve">L0/L1 actions cost cents; agents 0.10–1.00 USD/task are confined to ~15% of actions; humans under 5%.</w:t>
            </w:r>
          </w:p>
        </w:tc>
      </w:tr>
      <w:tr>
        <w:trPr>
          <w:cantSplit/>
        </w:trPr>
        <w:tc>
          <w:tcPr>
            <w:tcW w:type="dxa" w:w="3300"/>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Share of actions fully automated</w:t>
            </w:r>
          </w:p>
        </w:tc>
        <w:tc>
          <w:tcPr>
            <w:tcW w:type="dxa" w:w="2200"/>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&gt;80%</w:t>
            </w:r>
          </w:p>
        </w:tc>
        <w:tc>
          <w:tcPr>
            <w:tcW w:type="dxa" w:w="4246"/>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Deterministic playbooks beat agents on cost 10–100× and never hallucinate.</w:t>
            </w:r>
          </w:p>
        </w:tc>
      </w:tr>
      <w:tr>
        <w:trPr>
          <w:cantSplit/>
        </w:trPr>
        <w:tc>
          <w:tcPr>
            <w:tcW w:type="dxa" w:w="3300"/>
            <w:tcMar>
              <w:top w:type="dxa" w:w="70"/>
              <w:left w:type="dxa" w:w="100"/>
              <w:bottom w:type="dxa" w:w="70"/>
              <w:right w:type="dxa" w:w="100"/>
            </w:tcMar>
            <w:vAlign w:val="center"/>
          </w:tcPr>
          <w:p>
            <w:pPr>
              <w:spacing w:after="0" w:line="250" w:lineRule="auto"/>
            </w:pPr>
            <w:r>
              <w:rPr>
                <w:b w:val="false"/>
                <w:bCs w:val="false"/>
                <w:sz w:val="17"/>
                <w:szCs w:val="17"/>
              </w:rPr>
              <w:t xml:space="preserve">DSAR satisfactory-response rate</w:t>
            </w:r>
          </w:p>
        </w:tc>
        <w:tc>
          <w:tcPr>
            <w:tcW w:type="dxa" w:w="2200"/>
            <w:tcMar>
              <w:top w:type="dxa" w:w="70"/>
              <w:left w:type="dxa" w:w="100"/>
              <w:bottom w:type="dxa" w:w="70"/>
              <w:right w:type="dxa" w:w="100"/>
            </w:tcMar>
            <w:vAlign w:val="center"/>
          </w:tcPr>
          <w:p>
            <w:pPr>
              <w:spacing w:after="0" w:line="250" w:lineRule="auto"/>
            </w:pPr>
            <w:r>
              <w:rPr>
                <w:b w:val="false"/>
                <w:bCs w:val="false"/>
                <w:sz w:val="17"/>
                <w:szCs w:val="17"/>
              </w:rPr>
              <w:t xml:space="preserve">&gt;60% with escalation</w:t>
            </w:r>
          </w:p>
        </w:tc>
        <w:tc>
          <w:tcPr>
            <w:tcW w:type="dxa" w:w="4246"/>
            <w:tcMar>
              <w:top w:type="dxa" w:w="70"/>
              <w:left w:type="dxa" w:w="100"/>
              <w:bottom w:type="dxa" w:w="70"/>
              <w:right w:type="dxa" w:w="100"/>
            </w:tcMar>
            <w:vAlign w:val="center"/>
          </w:tcPr>
          <w:p>
            <w:pPr>
              <w:spacing w:after="0" w:line="250" w:lineRule="auto"/>
            </w:pPr>
            <w:r>
              <w:rPr>
                <w:b w:val="false"/>
                <w:bCs w:val="false"/>
                <w:sz w:val="17"/>
                <w:szCs w:val="17"/>
              </w:rPr>
              <w:t xml:space="preserve">noyb baseline: 16.5% satisfactory. The Article 77 escalation machine is the lever — measure the uplift and publish it.</w:t>
            </w:r>
          </w:p>
        </w:tc>
      </w:tr>
      <w:tr>
        <w:trPr>
          <w:cantSplit/>
        </w:trPr>
        <w:tc>
          <w:tcPr>
            <w:tcW w:type="dxa" w:w="3300"/>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Extension verdict latency</w:t>
            </w:r>
          </w:p>
        </w:tc>
        <w:tc>
          <w:tcPr>
            <w:tcW w:type="dxa" w:w="2200"/>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&lt;50 ms</w:t>
            </w:r>
          </w:p>
        </w:tc>
        <w:tc>
          <w:tcPr>
            <w:tcW w:type="dxa" w:w="4246"/>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Local filter snapshot (CRLite pattern) + k-anonymity tail lookups; no page-load impact.</w:t>
            </w:r>
          </w:p>
        </w:tc>
      </w:tr>
      <w:tr>
        <w:trPr>
          <w:cantSplit/>
        </w:trPr>
        <w:tc>
          <w:tcPr>
            <w:tcW w:type="dxa" w:w="3300"/>
            <w:tcMar>
              <w:top w:type="dxa" w:w="70"/>
              <w:left w:type="dxa" w:w="100"/>
              <w:bottom w:type="dxa" w:w="70"/>
              <w:right w:type="dxa" w:w="100"/>
            </w:tcMar>
            <w:vAlign w:val="center"/>
          </w:tcPr>
          <w:p>
            <w:pPr>
              <w:spacing w:after="0" w:line="250" w:lineRule="auto"/>
            </w:pPr>
            <w:r>
              <w:rPr>
                <w:b w:val="false"/>
                <w:bCs w:val="false"/>
                <w:sz w:val="17"/>
                <w:szCs w:val="17"/>
              </w:rPr>
              <w:t xml:space="preserve">Site-intelligence cost</w:t>
            </w:r>
          </w:p>
        </w:tc>
        <w:tc>
          <w:tcPr>
            <w:tcW w:type="dxa" w:w="2200"/>
            <w:tcMar>
              <w:top w:type="dxa" w:w="70"/>
              <w:left w:type="dxa" w:w="100"/>
              <w:bottom w:type="dxa" w:w="70"/>
              <w:right w:type="dxa" w:w="100"/>
            </w:tcMar>
            <w:vAlign w:val="center"/>
          </w:tcPr>
          <w:p>
            <w:pPr>
              <w:spacing w:after="0" w:line="250" w:lineRule="auto"/>
            </w:pPr>
            <w:r>
              <w:rPr>
                <w:b w:val="false"/>
                <w:bCs w:val="false"/>
                <w:sz w:val="17"/>
                <w:szCs w:val="17"/>
              </w:rPr>
              <w:t xml:space="preserve">≈€3k initial, &lt;€300/mo refresh</w:t>
            </w:r>
          </w:p>
        </w:tc>
        <w:tc>
          <w:tcPr>
            <w:tcW w:type="dxa" w:w="4246"/>
            <w:tcMar>
              <w:top w:type="dxa" w:w="70"/>
              <w:left w:type="dxa" w:w="100"/>
              <w:bottom w:type="dxa" w:w="70"/>
              <w:right w:type="dxa" w:w="100"/>
            </w:tcMar>
            <w:vAlign w:val="center"/>
          </w:tcPr>
          <w:p>
            <w:pPr>
              <w:spacing w:after="0" w:line="250" w:lineRule="auto"/>
            </w:pPr>
            <w:r>
              <w:rPr>
                <w:b w:val="false"/>
                <w:bCs w:val="false"/>
                <w:sz w:val="17"/>
                <w:szCs w:val="17"/>
              </w:rPr>
              <w:t xml:space="preserve">One LLM pass over ~100k policies ≈ 0.4–0.8B tokens; diff-triggered re-analysis only (single-digit % of policies change monthly). Estimates, order-of-magnitude.</w:t>
            </w:r>
          </w:p>
        </w:tc>
      </w:tr>
      <w:tr>
        <w:trPr>
          <w:cantSplit/>
        </w:trPr>
        <w:tc>
          <w:tcPr>
            <w:tcW w:type="dxa" w:w="3300"/>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Policy freshness (top 10k sites)</w:t>
            </w:r>
          </w:p>
        </w:tc>
        <w:tc>
          <w:tcPr>
            <w:tcW w:type="dxa" w:w="2200"/>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&lt;30 days</w:t>
            </w:r>
          </w:p>
        </w:tc>
        <w:tc>
          <w:tcPr>
            <w:tcW w:type="dxa" w:w="4246"/>
            <w:shd w:fill="F3F6FA" w:color="auto" w:val="clear"/>
            <w:tcMar>
              <w:top w:type="dxa" w:w="70"/>
              <w:left w:type="dxa" w:w="100"/>
              <w:bottom w:type="dxa" w:w="70"/>
              <w:right w:type="dxa" w:w="100"/>
            </w:tcMar>
            <w:vAlign w:val="center"/>
          </w:tcPr>
          <w:p>
            <w:pPr>
              <w:spacing w:after="0" w:line="250" w:lineRule="auto"/>
            </w:pPr>
            <w:r>
              <w:rPr>
                <w:b w:val="false"/>
                <w:bCs w:val="false"/>
                <w:sz w:val="17"/>
                <w:szCs w:val="17"/>
              </w:rPr>
              <w:t xml:space="preserve">Change detection via hash/ETag/diff, not re-crawl-everything.</w:t>
            </w:r>
          </w:p>
        </w:tc>
      </w:tr>
      <w:tr>
        <w:trPr>
          <w:cantSplit/>
        </w:trPr>
        <w:tc>
          <w:tcPr>
            <w:tcW w:type="dxa" w:w="3300"/>
            <w:tcMar>
              <w:top w:type="dxa" w:w="70"/>
              <w:left w:type="dxa" w:w="100"/>
              <w:bottom w:type="dxa" w:w="70"/>
              <w:right w:type="dxa" w:w="100"/>
            </w:tcMar>
            <w:vAlign w:val="center"/>
          </w:tcPr>
          <w:p>
            <w:pPr>
              <w:spacing w:after="0" w:line="250" w:lineRule="auto"/>
            </w:pPr>
            <w:r>
              <w:rPr>
                <w:b w:val="false"/>
                <w:bCs w:val="false"/>
                <w:sz w:val="17"/>
                <w:szCs w:val="17"/>
              </w:rPr>
              <w:t xml:space="preserve">Canary attribution cost</w:t>
            </w:r>
          </w:p>
        </w:tc>
        <w:tc>
          <w:tcPr>
            <w:tcW w:type="dxa" w:w="2200"/>
            <w:tcMar>
              <w:top w:type="dxa" w:w="70"/>
              <w:left w:type="dxa" w:w="100"/>
              <w:bottom w:type="dxa" w:w="70"/>
              <w:right w:type="dxa" w:w="100"/>
            </w:tcMar>
            <w:vAlign w:val="center"/>
          </w:tcPr>
          <w:p>
            <w:pPr>
              <w:spacing w:after="0" w:line="250" w:lineRule="auto"/>
            </w:pPr>
            <w:r>
              <w:rPr>
                <w:b w:val="false"/>
                <w:bCs w:val="false"/>
                <w:sz w:val="17"/>
                <w:szCs w:val="17"/>
              </w:rPr>
              <w:t xml:space="preserve">&lt;€0.10/user/mo</w:t>
            </w:r>
          </w:p>
        </w:tc>
        <w:tc>
          <w:tcPr>
            <w:tcW w:type="dxa" w:w="4246"/>
            <w:tcMar>
              <w:top w:type="dxa" w:w="70"/>
              <w:left w:type="dxa" w:w="100"/>
              <w:bottom w:type="dxa" w:w="70"/>
              <w:right w:type="dxa" w:w="100"/>
            </w:tcMar>
            <w:vAlign w:val="center"/>
          </w:tcPr>
          <w:p>
            <w:pPr>
              <w:spacing w:after="0" w:line="250" w:lineRule="auto"/>
            </w:pPr>
            <w:r>
              <w:rPr>
                <w:b w:val="false"/>
                <w:bCs w:val="false"/>
                <w:sz w:val="17"/>
                <w:szCs w:val="17"/>
              </w:rPr>
              <w:t xml:space="preserve">Own alias domains + small-model classification.</w:t>
            </w:r>
          </w:p>
        </w:tc>
      </w:tr>
    </w:tbl>
    <w:p>
      <w:pPr>
        <w:spacing w:after="160" w:line="276" w:lineRule="auto"/>
      </w:pPr>
      <w:r>
        <w:rPr>
          <w:b/>
          <w:bCs/>
        </w:rPr>
        <w:t xml:space="preserve">Reliability doctrine.</w:t>
      </w:r>
      <w:r>
        <w:t xml:space="preserve"> Deterministic first; agents sandboxed (allow-listed domains, no ambient credentials, validated structured output — prompt injection is the top LLM risk and a poisoned opt-out page must not be able to hijack an agent carrying a user’s mandate); every automation has a human fallback; every action type has an SLA. The system degrades to slower, never to wrong.</w:t>
      </w:r>
    </w:p>
    <w:p>
      <w:pPr>
        <w:pStyle w:val="Heading2"/>
      </w:pPr>
      <w:r>
        <w:t xml:space="preserve">11.2 Security, safety, and compliance hardening</w:t>
      </w:r>
    </w:p>
    <w:p>
      <w:pPr>
        <w:spacing w:after="160" w:line="276" w:lineRule="auto"/>
      </w:pPr>
      <w:r>
        <w:t xml:space="preserve">An adversarial review — read as attacker, privacy lawyer, and operator at once — surfaced four failure modes severe enough to reshape the design, plus a set of high-severity operational and economic corrections. They are summarised here because they are load-bearing, not footnotes.</w:t>
      </w:r>
    </w:p>
    <w:p>
      <w:pPr>
        <w:spacing w:after="160" w:line="276" w:lineRule="auto"/>
      </w:pPr>
      <w:r>
        <w:rPr>
          <w:b/>
          <w:bCs/>
        </w:rPr>
        <w:t xml:space="preserve">Safety first: the product must not become a stalker’s tool.</w:t>
      </w:r>
      <w:r>
        <w:t xml:space="preserve"> Proactive Article 15 sweeps against address traders plus consolidated dossier assembly is precisely an abuser’s locate-the-victim workflow — enter a name and date of birth, receive a current address. This is the single most important property to get right, and the fix gates everything else: every outbound request must be provably about the authenticated account holder, whose identity is bound by strong verification (eID or bank-ident) so the verified legal name, date of birth and address must match the request subject — no free-text subject that diverges from the verified identity. Returned content (addresses, credit files) is released only to the verified postal address or behind step-up authentication; sweeps are rate-limited; anomalous targeting is logged and reviewed. A consumer product in this space that skips identity binding is not shippable.</w:t>
      </w:r>
    </w:p>
    <w:p>
      <w:pPr>
        <w:spacing w:after="160" w:line="276" w:lineRule="auto"/>
      </w:pPr>
      <w:r>
        <w:rPr>
          <w:b/>
          <w:bCs/>
        </w:rPr>
        <w:t xml:space="preserve">Scraper becomes a controller of the most concentrated sensitive dossier in the market</w:t>
      </w:r>
      <w:r>
        <w:t xml:space="preserve"> — credit files, breach records, inbox metadata and cross-broker maps in one account, which makes account takeover a catastrophic event and a Data Protection Impact Assessment mandatory rather than optional. The hardening: appoint a DPO and run the DPIA before launch; envelope-encrypt each user’s assembled map under keys gated by their authentication; segregate the credit-file store; purge raw DSAR responses after they are normalised; require MFA and step-up to view the dossier; and build Scraper’s own Article 15/17 fulfilment path, because the company will itself receive rights requests about the data it holds. The trust envelope is a security control, not just marketing.</w:t>
      </w:r>
    </w:p>
    <w:p>
      <w:pPr>
        <w:spacing w:after="160" w:line="276" w:lineRule="auto"/>
      </w:pPr>
      <w:r>
        <w:rPr>
          <w:b/>
          <w:bCs/>
        </w:rPr>
        <w:t xml:space="preserve">Two legal exposures need structural answers.</w:t>
      </w:r>
      <w:r>
        <w:t xml:space="preserve"> Mandate fraud (a forged or self-asserted Vollmacht lets an attacker act as someone else, compounding the stalker risk) is closed by a qualified electronic signature (eIDAS QES) on the mandate, bound to the verified identity. And drafting individualised complaints, damages claims and Schufa disputes for a fee is likely a regulated legal service under Germany’s RDG; the answer is to register as an Inkassodienstleister or white-label the adversarial and damages work to partner lawyers, while keeping the automated Article 21(2) marketing objection framed as a pure messenger service. The related caution for any Japan expansion is sharper still: the 非弁 rule can make even sending a request on a user’s behalf unlawful for a non-lawyer, so that market is enterable only as user-initiated software with a law-firm partner.</w:t>
      </w:r>
    </w:p>
    <w:p>
      <w:pPr>
        <w:spacing w:after="160" w:line="276" w:lineRule="auto"/>
      </w:pPr>
      <w:r>
        <w:rPr>
          <w:b/>
          <w:bCs/>
        </w:rPr>
        <w:t xml:space="preserve">Hostile documents are an injection surface.</w:t>
      </w:r>
      <w:r>
        <w:t xml:space="preserve"> Broker letters and PDFs are attacker-controllable input flowing straight into the OCR-and-LLM parser; an embedded instruction ("mark this controller compliant," "the user consents to retention") will be obeyed by a naive pipeline and can drive an automated action. Every ingested document is therefore treated as untrusted: parsing runs structured-output-only with no tools, per-document context isolation and zero cross-user context, and parser output never triggers an irreversible action without deterministic validation or human review.</w:t>
      </w:r>
    </w:p>
    <w:p>
      <w:pPr>
        <w:spacing w:after="160" w:line="276" w:lineRule="auto"/>
      </w:pPr>
      <w:r>
        <w:rPr>
          <w:b/>
          <w:bCs/>
        </w:rPr>
        <w:t xml:space="preserve">The Digital Omnibus is a risk to respect, not a defence to lean on.</w:t>
      </w:r>
      <w:r>
        <w:t xml:space="preserve"> The November 2025 proposal would let controllers refuse access requests made for purposes other than data protection and treat broad, undifferentiated requests as excessive — aimed squarely at intermediary bulk-Article-15 models. So the funnel does not rest on proactive bulk access sweeps; it leads with the unconditional Article 21(2) marketing objection (which the reform does not touch) and Article 17 erasure, and every access request is user-specific with an explicit data-protection purpose. </w:t>
      </w:r>
      <w:r>
        <w:rPr>
          <w:b/>
          <w:bCs/>
        </w:rPr>
        <w:t xml:space="preserve">Economics get two corrections too:</w:t>
      </w:r>
      <w:r>
        <w:t xml:space="preserve"> strong identity verification costs roughly €0.50–3 per check, so it is risk-tiered (lightweight confirmation for low-risk self-objections; strong eID only for content-returning, credit-bureau or sensitive-broker actions) and booked as acquisition cost, not per-removal; and the sub-€0.50 removal target holds only for email and web-form actions — a letter (Standardbrief €0.95, Einwurf-Einschreiben €3.30 with proof) pushes a contested postal removal to €5–15, so post is reserved for the minority of brokers that mandate it and the blended target for postal-heavy cohorts is re-baselined under €1.50. Finally, the public "leaky companies" leaderboard is a defamation and unfair-competition magnet in Germany, so it publishes only verifiable, self-evidenced facts from the timestamped ledger ("responded in 34 days against a 30-day statutory clock"), never letter grades, with a documented methodology, a right of reply, and legal sign-off.</w:t>
      </w:r>
    </w:p>
    <w:p>
      <w:pPr>
        <w:pStyle w:val="Heading2"/>
      </w:pPr>
      <w:r>
        <w:t xml:space="preserve">11.3 The v2 additions the build requires</w:t>
      </w:r>
    </w:p>
    <w:p>
      <w:pPr>
        <w:spacing w:after="160" w:line="276" w:lineRule="auto"/>
      </w:pPr>
      <w:r>
        <w:t xml:space="preserve">Five components, absent from the first sketch, are what turn the design from demo-safe into launch-safe. They are named here so they appear in the engineering backlog from day one rather than being retrofitted after an incident.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0"/>
        <w:gridCol w:w="4550"/>
        <w:gridCol w:w="2846"/>
      </w:tblGrid>
      <w:tr>
        <w:trPr>
          <w:cantSplit/>
          <w:tblHeader/>
        </w:trPr>
        <w:tc>
          <w:tcPr>
            <w:tcW w:type="dxa" w:w="235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Addition</w:t>
            </w:r>
          </w:p>
        </w:tc>
        <w:tc>
          <w:tcPr>
            <w:tcW w:type="dxa" w:w="4550"/>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What it is and what it fixes</w:t>
            </w:r>
          </w:p>
        </w:tc>
        <w:tc>
          <w:tcPr>
            <w:tcW w:type="dxa" w:w="2846"/>
            <w:shd w:fill="1F3A5F" w:color="auto" w:val="clear"/>
            <w:tcMar>
              <w:top w:type="dxa" w:w="70"/>
              <w:left w:type="dxa" w:w="100"/>
              <w:bottom w:type="dxa" w:w="70"/>
              <w:right w:type="dxa" w:w="100"/>
            </w:tcMar>
            <w:vAlign w:val="center"/>
          </w:tcPr>
          <w:p>
            <w:pPr>
              <w:spacing w:after="0" w:line="250" w:lineRule="auto"/>
            </w:pPr>
            <w:r>
              <w:rPr>
                <w:b/>
                <w:bCs/>
                <w:color w:val="FFFFFF"/>
                <w:sz w:val="16"/>
                <w:szCs w:val="16"/>
              </w:rPr>
              <w:t xml:space="preserve">Cost / choice</w:t>
            </w:r>
          </w:p>
        </w:tc>
      </w:tr>
      <w:tr>
        <w:trPr>
          <w:cantSplit/>
        </w:trPr>
        <w:tc>
          <w:tcPr>
            <w:tcW w:type="dxa" w:w="2350"/>
            <w:tcMar>
              <w:top w:type="dxa" w:w="70"/>
              <w:left w:type="dxa" w:w="100"/>
              <w:bottom w:type="dxa" w:w="70"/>
              <w:right w:type="dxa" w:w="100"/>
            </w:tcMar>
            <w:vAlign w:val="center"/>
          </w:tcPr>
          <w:p>
            <w:pPr>
              <w:spacing w:after="0" w:line="250" w:lineRule="auto"/>
            </w:pPr>
            <w:r>
              <w:rPr>
                <w:b w:val="false"/>
                <w:bCs w:val="false"/>
                <w:sz w:val="16"/>
                <w:szCs w:val="16"/>
              </w:rPr>
              <w:t xml:space="preserve">Identity-binding &amp; mandate layer</w:t>
            </w:r>
          </w:p>
        </w:tc>
        <w:tc>
          <w:tcPr>
            <w:tcW w:type="dxa" w:w="4550"/>
            <w:tcMar>
              <w:top w:type="dxa" w:w="70"/>
              <w:left w:type="dxa" w:w="100"/>
              <w:bottom w:type="dxa" w:w="70"/>
              <w:right w:type="dxa" w:w="100"/>
            </w:tcMar>
            <w:vAlign w:val="center"/>
          </w:tcPr>
          <w:p>
            <w:pPr>
              <w:spacing w:after="0" w:line="250" w:lineRule="auto"/>
            </w:pPr>
            <w:r>
              <w:rPr>
                <w:b w:val="false"/>
                <w:bCs w:val="false"/>
                <w:sz w:val="16"/>
                <w:szCs w:val="16"/>
              </w:rPr>
              <w:t xml:space="preserve">eID/bank-ident verification plus a QES-signed Vollmacht bound to the verified identity. Makes the stalker-risk and mandate-fraud fixes real; subject of every request is the verified person.</w:t>
            </w:r>
          </w:p>
        </w:tc>
        <w:tc>
          <w:tcPr>
            <w:tcW w:type="dxa" w:w="2846"/>
            <w:tcMar>
              <w:top w:type="dxa" w:w="70"/>
              <w:left w:type="dxa" w:w="100"/>
              <w:bottom w:type="dxa" w:w="70"/>
              <w:right w:type="dxa" w:w="100"/>
            </w:tcMar>
            <w:vAlign w:val="center"/>
          </w:tcPr>
          <w:p>
            <w:pPr>
              <w:spacing w:after="0" w:line="250" w:lineRule="auto"/>
            </w:pPr>
            <w:r>
              <w:rPr>
                <w:b w:val="false"/>
                <w:bCs w:val="false"/>
                <w:sz w:val="16"/>
                <w:szCs w:val="16"/>
              </w:rPr>
              <w:t xml:space="preserve">≈€0.50–3 per verification, ≈€1–2 per QES signature; booked as CAC, risk-tiered. Vendors: IDnow/Nect/POSTIDENT-eID.</w:t>
            </w:r>
          </w:p>
        </w:tc>
      </w:tr>
      <w:tr>
        <w:trPr>
          <w:cantSplit/>
        </w:trPr>
        <w:tc>
          <w:tcPr>
            <w:tcW w:type="dxa" w:w="23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Untrusted-document sandbox</w:t>
            </w:r>
          </w:p>
        </w:tc>
        <w:tc>
          <w:tcPr>
            <w:tcW w:type="dxa" w:w="45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Isolated, EU-hosted small-model parsing: structured-output-only, no tools, per-document context, deterministic validation before any action. Neutralises document prompt-injection and keeps sensitive parsing in-region.</w:t>
            </w:r>
          </w:p>
        </w:tc>
        <w:tc>
          <w:tcPr>
            <w:tcW w:type="dxa" w:w="284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Cents per document (small-model tokens). Build, not licence.</w:t>
            </w:r>
          </w:p>
        </w:tc>
      </w:tr>
      <w:tr>
        <w:trPr>
          <w:cantSplit/>
        </w:trPr>
        <w:tc>
          <w:tcPr>
            <w:tcW w:type="dxa" w:w="2350"/>
            <w:tcMar>
              <w:top w:type="dxa" w:w="70"/>
              <w:left w:type="dxa" w:w="100"/>
              <w:bottom w:type="dxa" w:w="70"/>
              <w:right w:type="dxa" w:w="100"/>
            </w:tcMar>
            <w:vAlign w:val="center"/>
          </w:tcPr>
          <w:p>
            <w:pPr>
              <w:spacing w:after="0" w:line="250" w:lineRule="auto"/>
            </w:pPr>
            <w:r>
              <w:rPr>
                <w:b w:val="false"/>
                <w:bCs w:val="false"/>
                <w:sz w:val="16"/>
                <w:szCs w:val="16"/>
              </w:rPr>
              <w:t xml:space="preserve">Controller Gateway</w:t>
            </w:r>
          </w:p>
        </w:tc>
        <w:tc>
          <w:tcPr>
            <w:tcW w:type="dxa" w:w="4550"/>
            <w:tcMar>
              <w:top w:type="dxa" w:w="70"/>
              <w:left w:type="dxa" w:w="100"/>
              <w:bottom w:type="dxa" w:w="70"/>
              <w:right w:type="dxa" w:w="100"/>
            </w:tcMar>
            <w:vAlign w:val="center"/>
          </w:tcPr>
          <w:p>
            <w:pPr>
              <w:spacing w:after="0" w:line="250" w:lineRule="auto"/>
            </w:pPr>
            <w:r>
              <w:rPr>
                <w:b w:val="false"/>
                <w:bCs w:val="false"/>
                <w:sz w:val="16"/>
                <w:szCs w:val="16"/>
              </w:rPr>
              <w:t xml:space="preserve">Per-broker rate governance and queueing; idempotency keys per (user, broker, request-type); SPF/DKIM/DMARC-aligned rotating send domains; deliverability and playbook-health monitors; qualified timestamps; Einwurf-Einschreiben for clock-critical mail. Fixes throttling/blocklisting, duplicate "excessive" requests, spam-foldering, and weak proof-of-delivery.</w:t>
            </w:r>
          </w:p>
        </w:tc>
        <w:tc>
          <w:tcPr>
            <w:tcW w:type="dxa" w:w="2846"/>
            <w:tcMar>
              <w:top w:type="dxa" w:w="70"/>
              <w:left w:type="dxa" w:w="100"/>
              <w:bottom w:type="dxa" w:w="70"/>
              <w:right w:type="dxa" w:w="100"/>
            </w:tcMar>
            <w:vAlign w:val="center"/>
          </w:tcPr>
          <w:p>
            <w:pPr>
              <w:spacing w:after="0" w:line="250" w:lineRule="auto"/>
            </w:pPr>
            <w:r>
              <w:rPr>
                <w:b w:val="false"/>
                <w:bCs w:val="false"/>
                <w:sz w:val="16"/>
                <w:szCs w:val="16"/>
              </w:rPr>
              <w:t xml:space="preserve">Engineering cost; postal-API + QTSP usage fees. Vendors: LetterXpress/Pingen, an eIDAS QTSP.</w:t>
            </w:r>
          </w:p>
        </w:tc>
      </w:tr>
      <w:tr>
        <w:trPr>
          <w:cantSplit/>
        </w:trPr>
        <w:tc>
          <w:tcPr>
            <w:tcW w:type="dxa" w:w="23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Data-governance program &amp; encrypted vault</w:t>
            </w:r>
          </w:p>
        </w:tc>
        <w:tc>
          <w:tcPr>
            <w:tcW w:type="dxa" w:w="4550"/>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DPIA, DPO, envelope-encrypted per-user store, retention/purge engine, EU-region inference, breach runbook, and Scraper’s own Art 15/17 endpoint. Addresses the controller-of-sensitive-data exposure.</w:t>
            </w:r>
          </w:p>
        </w:tc>
        <w:tc>
          <w:tcPr>
            <w:tcW w:type="dxa" w:w="2846"/>
            <w:shd w:fill="F3F6FA" w:color="auto" w:val="clear"/>
            <w:tcMar>
              <w:top w:type="dxa" w:w="70"/>
              <w:left w:type="dxa" w:w="100"/>
              <w:bottom w:type="dxa" w:w="70"/>
              <w:right w:type="dxa" w:w="100"/>
            </w:tcMar>
            <w:vAlign w:val="center"/>
          </w:tcPr>
          <w:p>
            <w:pPr>
              <w:spacing w:after="0" w:line="250" w:lineRule="auto"/>
            </w:pPr>
            <w:r>
              <w:rPr>
                <w:b w:val="false"/>
                <w:bCs w:val="false"/>
                <w:sz w:val="16"/>
                <w:szCs w:val="16"/>
              </w:rPr>
              <w:t xml:space="preserve">Compliance + platform cost; EU inference (Azure OpenAI EU / Bedrock EU / Mistral EU / self-host).</w:t>
            </w:r>
          </w:p>
        </w:tc>
      </w:tr>
      <w:tr>
        <w:trPr>
          <w:cantSplit/>
        </w:trPr>
        <w:tc>
          <w:tcPr>
            <w:tcW w:type="dxa" w:w="2350"/>
            <w:tcMar>
              <w:top w:type="dxa" w:w="70"/>
              <w:left w:type="dxa" w:w="100"/>
              <w:bottom w:type="dxa" w:w="70"/>
              <w:right w:type="dxa" w:w="100"/>
            </w:tcMar>
            <w:vAlign w:val="center"/>
          </w:tcPr>
          <w:p>
            <w:pPr>
              <w:spacing w:after="0" w:line="250" w:lineRule="auto"/>
            </w:pPr>
            <w:r>
              <w:rPr>
                <w:b w:val="false"/>
                <w:bCs w:val="false"/>
                <w:sz w:val="16"/>
                <w:szCs w:val="16"/>
              </w:rPr>
              <w:t xml:space="preserve">RDG/legal wrapper</w:t>
            </w:r>
          </w:p>
        </w:tc>
        <w:tc>
          <w:tcPr>
            <w:tcW w:type="dxa" w:w="4550"/>
            <w:tcMar>
              <w:top w:type="dxa" w:w="70"/>
              <w:left w:type="dxa" w:w="100"/>
              <w:bottom w:type="dxa" w:w="70"/>
              <w:right w:type="dxa" w:w="100"/>
            </w:tcMar>
            <w:vAlign w:val="center"/>
          </w:tcPr>
          <w:p>
            <w:pPr>
              <w:spacing w:after="0" w:line="250" w:lineRule="auto"/>
            </w:pPr>
            <w:r>
              <w:rPr>
                <w:b w:val="false"/>
                <w:bCs w:val="false"/>
                <w:sz w:val="16"/>
                <w:szCs w:val="16"/>
              </w:rPr>
              <w:t xml:space="preserve">Inkasso registration or lawyer-partner white-label for adversarial and damages work; QES mandates; counsel-reviewed Art 77 templates; leaderboard sign-off. Keeps the messenger-service line clean and the legal work licensed.</w:t>
            </w:r>
          </w:p>
        </w:tc>
        <w:tc>
          <w:tcPr>
            <w:tcW w:type="dxa" w:w="2846"/>
            <w:tcMar>
              <w:top w:type="dxa" w:w="70"/>
              <w:left w:type="dxa" w:w="100"/>
              <w:bottom w:type="dxa" w:w="70"/>
              <w:right w:type="dxa" w:w="100"/>
            </w:tcMar>
            <w:vAlign w:val="center"/>
          </w:tcPr>
          <w:p>
            <w:pPr>
              <w:spacing w:after="0" w:line="250" w:lineRule="auto"/>
            </w:pPr>
            <w:r>
              <w:rPr>
                <w:b w:val="false"/>
                <w:bCs w:val="false"/>
                <w:sz w:val="16"/>
                <w:szCs w:val="16"/>
              </w:rPr>
              <w:t xml:space="preserve">Legal setup + partner-firm revenue share.</w:t>
            </w:r>
          </w:p>
        </w:tc>
      </w:tr>
    </w:tbl>
    <w:p>
      <w:pPr>
        <w:pStyle w:val="Heading1"/>
      </w:pPr>
      <w:r>
        <w:t xml:space="preserve">12. Countering web scraping: what is realistic</w:t>
      </w:r>
    </w:p>
    <w:p>
      <w:pPr>
        <w:spacing w:after="160" w:line="276" w:lineRule="auto"/>
      </w:pPr>
      <w:r>
        <w:rPr>
          <w:b/>
          <w:bCs/>
        </w:rPr>
        <w:t xml:space="preserve">What a consumer product cannot do:</w:t>
      </w:r>
      <w:r>
        <w:t xml:space="preserve"> stop the scraping of public data. US courts have repeatedly protected it (Meta v. Bright Data, 2024, following hiQ), and the effective technical defences — fingerprinting, behavioural challenges, tarpits like Cloudflare’s AI Labyrinth, pay-per-crawl — belong to site operators. The arms race is real (bots are now ~57% of HTML traffic; AI crawler traffic grew ~757% in 2024) but it is fought site-by-site, not person-by-person. Any pitch claiming to "block scrapers" for an individual would be false.</w:t>
      </w:r>
    </w:p>
    <w:p>
      <w:pPr>
        <w:spacing w:after="160" w:line="276" w:lineRule="auto"/>
      </w:pPr>
      <w:r>
        <w:rPr>
          <w:b/>
          <w:bCs/>
        </w:rPr>
        <w:t xml:space="preserve">What it can do — four honest mechanisms.</w:t>
      </w:r>
      <w:r>
        <w:t xml:space="preserve"> First, </w:t>
      </w:r>
      <w:r>
        <w:rPr>
          <w:b/>
          <w:bCs/>
        </w:rPr>
        <w:t xml:space="preserve">shrink the scrapable surface</w:t>
      </w:r>
      <w:r>
        <w:t xml:space="preserve">: directory opt-outs, social-privacy hardening walkthroughs, and alias-first signups so every future breach or scrape of a third-party site yields a pseudonym instead of the user’s real coordinates — prevention by identity architecture rather than by force. Second, </w:t>
      </w:r>
      <w:r>
        <w:rPr>
          <w:b/>
          <w:bCs/>
        </w:rPr>
        <w:t xml:space="preserve">detect and respond</w:t>
      </w:r>
      <w:r>
        <w:t xml:space="preserve">: the Data Radar finds where scraped data surfaced; the Erasure Machine takes it down with legal force. Third, </w:t>
      </w:r>
      <w:r>
        <w:rPr>
          <w:b/>
          <w:bCs/>
        </w:rPr>
        <w:t xml:space="preserve">deter through cost</w:t>
      </w:r>
      <w:r>
        <w:t xml:space="preserve">: canaries make selling data traceable, objections and complaints make holding German data expensive, and the public scoreboard makes non-compliance reputationally costly — "make your data expensive" is the accurate slogan. Fourth, </w:t>
      </w:r>
      <w:r>
        <w:rPr>
          <w:b/>
          <w:bCs/>
        </w:rPr>
        <w:t xml:space="preserve">be straight about poisoning</w:t>
      </w:r>
      <w:r>
        <w:t xml:space="preserve">: image-cloaking tools (Glaze, Nightshade, Fawkes) have been substantially defeated — LightShed (USENIX 2025) detects and strips their perturbations — so Scraper can offer cloaking as a deterrent layer while saying plainly that canaries, not perturbations, are the reliable poison. On the AI front, each site’s AI-crawl posture (robots.txt, AI-training stance) feeds the copilot grade, and opt-out filings to OpenAI, Google and Meta are automated — with the honest caveat that machine unlearning does not meaningfully exist yet, so removal from future training is the realistic promise, not extraction from current weights.</w:t>
      </w:r>
    </w:p>
    <w:p>
      <w:pPr>
        <w:pStyle w:val="Heading1"/>
      </w:pPr>
      <w:r>
        <w:t xml:space="preserve">13. Market size, business model, go-to-market</w:t>
      </w:r>
    </w:p>
    <w:p>
      <w:pPr>
        <w:spacing w:after="160" w:line="276" w:lineRule="auto"/>
      </w:pPr>
      <w:r>
        <w:rPr>
          <w:b/>
          <w:bCs/>
        </w:rPr>
        <w:t xml:space="preserve">Market shape (figures vary by source; treat as directional).</w:t>
      </w:r>
      <w:r>
        <w:t xml:space="preserve"> The global B2B data-broker industry is estimated around 330–360 billion USD (2025–26). The consumer removal category is small and fast-growing: ~1.65 billion USD in 2024 with ~18% CAGR projections, Europe ~495M USD of that — but sourced from low-credibility research mills; the harder signals are behavioural. Only 6% of US adults have ever used a removal service against 42% awareness, at a 120–150 USD/yr price anchor. Germany has no usage data at all — itself evidence of how early the market is — with Incogni at ≈€7/mo and Datenputzer at €5–7/mo as the only local price anchors. Consolidation validates the space: Cloaked’s 375M USD raise, McAfee buying Mine, DeleteMe buying Permission Slip, all within nine months.</w:t>
      </w:r>
    </w:p>
    <w:p>
      <w:pPr>
        <w:spacing w:after="160" w:line="276" w:lineRule="auto"/>
      </w:pPr>
      <w:r>
        <w:rPr>
          <w:b/>
          <w:bCs/>
        </w:rPr>
        <w:t xml:space="preserve">Model.</w:t>
      </w:r>
      <w:r>
        <w:t xml:space="preserve"> Free tier: the copilot extension (grades, GPC, banner auto-reject, a handful of aliases) — distribution, trust and census enrichment. Premium at €6–10/month: the Erasure Machine with verification, monitoring and re-sweeps, unlimited canaries with receipts, and Score Studio. Family plan at €12–15. Later: B2B employee protection (DeleteMe’s actual profit pool, with the Databroker Files as the German sales deck), and carefully structured referral of strong Article 82 damages cases to partner firms. Unit economics at €7/mo: site intelligence and playbooks are fixed costs; variable cost (aliases, scans, HIBP licensing, removal actions) plausibly sits near €0.50–1.00/user/month at scale — a software-margin business, unlike DeleteMe’s human-ops model.</w:t>
      </w:r>
    </w:p>
    <w:p>
      <w:pPr>
        <w:spacing w:after="160" w:line="276" w:lineRule="auto"/>
      </w:pPr>
      <w:r>
        <w:rPr>
          <w:b/>
          <w:bCs/>
        </w:rPr>
        <w:t xml:space="preserve">Go-to-market.</w:t>
      </w:r>
      <w:r>
        <w:t xml:space="preserve"> Ride two German news cycles that peak exactly now: the new Schufa score (mass-market search volume, universal anxiety) and the Databroker Files (location-data scandals with national-security resonance). SEO on high-intent German queries — Schufa-Eintrag löschen, Datenkopie beantragen, Werbewiderspruch — where current results are law-firm content farms. Let receipts and the compliance scoreboard generate press ("these ten companies leaked user canaries this quarter"). Partner with the institutions Germans already trust: Verbraucherzentralen, Mieterbund, unions. And make trust the visible architecture from day one — open-source client, EU hosting, attestation, a no-resale covenant in the terms — because in this category, post-Onerep, trust is the product.</w:t>
      </w:r>
    </w:p>
    <w:p>
      <w:pPr>
        <w:spacing w:after="160" w:line="276" w:lineRule="auto"/>
      </w:pPr>
      <w:r>
        <w:rPr>
          <w:b/>
          <w:bCs/>
        </w:rPr>
        <w:t xml:space="preserve">A note on the name.</w:t>
      </w:r>
      <w:r>
        <w:t xml:space="preserve"> "Scraper" names the adversary — memorable and ironic, but in a trust-first category it risks reading as a scraping tool (and app-store search will surface it next to actual scrapers). Worth user-testing against alternatives that name the outcome instead; "The Right to Be Forgotten" works well as the tagline either way. A decision for the branding phase, not this document.</w:t>
      </w:r>
    </w:p>
    <w:p>
      <w:pPr>
        <w:pStyle w:val="Heading1"/>
      </w:pPr>
      <w:r>
        <w:t xml:space="preserve">14. Risks, constraints, compliance</w:t>
      </w:r>
    </w:p>
    <w:p>
      <w:pPr>
        <w:spacing w:after="160" w:line="276" w:lineRule="auto"/>
      </w:pPr>
      <w:r>
        <w:rPr>
          <w:b/>
          <w:bCs/>
        </w:rPr>
        <w:t xml:space="preserve">Safety and abuse — the risk that outranks the others.</w:t>
      </w:r>
      <w:r>
        <w:t xml:space="preserve"> The gravest failure is not commercial but human: the product could be turned into a tool to locate or harass someone. This is treated as a launch gate, not a later hardening pass — strong identity binding so every request concerns the verified account holder, content released only to a verified address or behind step-up auth, rate-limiting and anomaly review, and QES-signed mandates against forgery. The full mechanism is in section 11.2; it is repeated here because it is the first thing an investor, a regulator, or a journalist will and should ask about.</w:t>
      </w:r>
    </w:p>
    <w:p>
      <w:pPr>
        <w:spacing w:after="160" w:line="276" w:lineRule="auto"/>
      </w:pPr>
      <w:r>
        <w:rPr>
          <w:b/>
          <w:bCs/>
        </w:rPr>
        <w:t xml:space="preserve">Structural.</w:t>
      </w:r>
      <w:r>
        <w:t xml:space="preserve"> Brokers repopulate from fresh feeds — the honest answer is the monitoring subscription, and the deeper answer is that purpose-limitation rulings (CRIF/AZ Direct, BayLDA) attack resale at the root. Device-ID ad-tech data stays out of reach of name-based requests — handled by honesty plus extension-side blocking. Incumbent response is certain if the wedge works: Incogni localising German playbooks, McAfee bundling, Cloaked’s war chest — the defences are the census, German legal depth, the receipts loop, and trust positioning that a bundler cannot credibly copy.</w:t>
      </w:r>
    </w:p>
    <w:p>
      <w:pPr>
        <w:spacing w:after="160" w:line="276" w:lineRule="auto"/>
      </w:pPr>
      <w:r>
        <w:rPr>
          <w:b/>
          <w:bCs/>
        </w:rPr>
        <w:t xml:space="preserve">Regulatory.</w:t>
      </w:r>
      <w:r>
        <w:t xml:space="preserve"> The Digital Omnibus DSAR provisions are the live threat: if controllers may refuse "commercial" requests, the mandate-based, individualised architecture is the defence, and the legislative outcome must be tracked. Germany’s RDG constrains who may conduct legal disputes for consumers — structure with counsel from day one. A future US entry triggers CROA. And Scraper itself becomes a controller of sensitive data: DPIA, EU hosting, minimisation, and the discipline to never monetise the data are existential, not optional.</w:t>
      </w:r>
    </w:p>
    <w:p>
      <w:pPr>
        <w:spacing w:after="160" w:line="276" w:lineRule="auto"/>
      </w:pPr>
      <w:r>
        <w:rPr>
          <w:b/>
          <w:bCs/>
        </w:rPr>
        <w:t xml:space="preserve">Technical.</w:t>
      </w:r>
      <w:r>
        <w:t xml:space="preserve"> Live-web agent reliability (~30–60%) and unsolved prompt injection are why the ladder confines agents to the tail with validation and human fallback. CAPTCHA-solving services are a legal grey zone — humans click. Breach-data licensing is sales-gated and potentially expensive (HIBP Pro from 379 USD/mo is the affordable entry; SpyCloud/Constella are enterprise-priced) — stage it. Chrome MV3 limits and store review are platform risks — Firefox parity and an open client hedge them; Safari adds friction and comes later.</w:t>
      </w:r>
    </w:p>
    <w:p>
      <w:pPr>
        <w:spacing w:after="160" w:line="276" w:lineRule="auto"/>
      </w:pPr>
      <w:r>
        <w:rPr>
          <w:b/>
          <w:bCs/>
        </w:rPr>
        <w:t xml:space="preserve">Market.</w:t>
      </w:r>
      <w:r>
        <w:t xml:space="preserve"> The category has a trust deficit and low adoption (6% US; Germany unknown), so education costs are real; the extension-first funnel and institutional partnerships are the mitigation. German willingness-to-pay is unproven — which is why the roadmap starts with a Wizard-of-Oz MVP that validates conversion at €5–10/month before the heavy automation is built.</w:t>
      </w:r>
    </w:p>
    <w:p>
      <w:pPr>
        <w:pStyle w:val="Heading1"/>
      </w:pPr>
      <w:r>
        <w:t xml:space="preserve">15. Roadmap</w:t>
      </w:r>
    </w:p>
    <w:p>
      <w:pPr>
        <w:spacing w:after="160" w:line="276" w:lineRule="auto"/>
      </w:pPr>
      <w:r>
        <w:t xml:space="preserve">The review tightened Phase 0 in one important way: two things that read like "later" features — strong identity binding and the untrusted-document sandbox — are in the MVP, because they are safety-load-bearing, not polish. Everything else non-essential is deferred so a 2–3 engineer team can ship a real, safe loop in three months.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4450"/>
        <w:gridCol w:w="2596"/>
      </w:tblGrid>
      <w:tr>
        <w:trPr>
          <w:cantSplit/>
          <w:tblHeader/>
        </w:trPr>
        <w:tc>
          <w:tcPr>
            <w:tcW w:type="dxa" w:w="1500"/>
            <w:shd w:fill="1F3A5F" w:color="auto" w:val="clear"/>
            <w:tcMar>
              <w:top w:type="dxa" w:w="70"/>
              <w:left w:type="dxa" w:w="100"/>
              <w:bottom w:type="dxa" w:w="70"/>
              <w:right w:type="dxa" w:w="100"/>
            </w:tcMar>
            <w:vAlign w:val="center"/>
          </w:tcPr>
          <w:p>
            <w:pPr>
              <w:spacing w:after="0" w:line="250" w:lineRule="auto"/>
            </w:pPr>
            <w:r>
              <w:rPr>
                <w:b/>
                <w:bCs/>
                <w:color w:val="FFFFFF"/>
                <w:sz w:val="15"/>
                <w:szCs w:val="15"/>
              </w:rPr>
              <w:t xml:space="preserve">Phase</w:t>
            </w:r>
          </w:p>
        </w:tc>
        <w:tc>
          <w:tcPr>
            <w:tcW w:type="dxa" w:w="1200"/>
            <w:shd w:fill="1F3A5F" w:color="auto" w:val="clear"/>
            <w:tcMar>
              <w:top w:type="dxa" w:w="70"/>
              <w:left w:type="dxa" w:w="100"/>
              <w:bottom w:type="dxa" w:w="70"/>
              <w:right w:type="dxa" w:w="100"/>
            </w:tcMar>
            <w:vAlign w:val="center"/>
          </w:tcPr>
          <w:p>
            <w:pPr>
              <w:spacing w:after="0" w:line="250" w:lineRule="auto"/>
            </w:pPr>
            <w:r>
              <w:rPr>
                <w:b/>
                <w:bCs/>
                <w:color w:val="FFFFFF"/>
                <w:sz w:val="15"/>
                <w:szCs w:val="15"/>
              </w:rPr>
              <w:t xml:space="preserve">Months</w:t>
            </w:r>
          </w:p>
        </w:tc>
        <w:tc>
          <w:tcPr>
            <w:tcW w:type="dxa" w:w="4450"/>
            <w:shd w:fill="1F3A5F" w:color="auto" w:val="clear"/>
            <w:tcMar>
              <w:top w:type="dxa" w:w="70"/>
              <w:left w:type="dxa" w:w="100"/>
              <w:bottom w:type="dxa" w:w="70"/>
              <w:right w:type="dxa" w:w="100"/>
            </w:tcMar>
            <w:vAlign w:val="center"/>
          </w:tcPr>
          <w:p>
            <w:pPr>
              <w:spacing w:after="0" w:line="250" w:lineRule="auto"/>
            </w:pPr>
            <w:r>
              <w:rPr>
                <w:b/>
                <w:bCs/>
                <w:color w:val="FFFFFF"/>
                <w:sz w:val="15"/>
                <w:szCs w:val="15"/>
              </w:rPr>
              <w:t xml:space="preserve">Focus</w:t>
            </w:r>
          </w:p>
        </w:tc>
        <w:tc>
          <w:tcPr>
            <w:tcW w:type="dxa" w:w="2596"/>
            <w:shd w:fill="1F3A5F" w:color="auto" w:val="clear"/>
            <w:tcMar>
              <w:top w:type="dxa" w:w="70"/>
              <w:left w:type="dxa" w:w="100"/>
              <w:bottom w:type="dxa" w:w="70"/>
              <w:right w:type="dxa" w:w="100"/>
            </w:tcMar>
            <w:vAlign w:val="center"/>
          </w:tcPr>
          <w:p>
            <w:pPr>
              <w:spacing w:after="0" w:line="250" w:lineRule="auto"/>
            </w:pPr>
            <w:r>
              <w:rPr>
                <w:b/>
                <w:bCs/>
                <w:color w:val="FFFFFF"/>
                <w:sz w:val="15"/>
                <w:szCs w:val="15"/>
              </w:rPr>
              <w:t xml:space="preserve">Gate to next phase</w:t>
            </w:r>
          </w:p>
        </w:tc>
      </w:tr>
      <w:tr>
        <w:trPr>
          <w:cantSplit/>
        </w:trPr>
        <w:tc>
          <w:tcPr>
            <w:tcW w:type="dxa" w:w="1500"/>
            <w:tcMar>
              <w:top w:type="dxa" w:w="70"/>
              <w:left w:type="dxa" w:w="100"/>
              <w:bottom w:type="dxa" w:w="70"/>
              <w:right w:type="dxa" w:w="100"/>
            </w:tcMar>
            <w:vAlign w:val="center"/>
          </w:tcPr>
          <w:p>
            <w:pPr>
              <w:spacing w:after="0" w:line="250" w:lineRule="auto"/>
            </w:pPr>
            <w:r>
              <w:rPr>
                <w:b w:val="false"/>
                <w:bCs w:val="false"/>
                <w:sz w:val="15"/>
                <w:szCs w:val="15"/>
              </w:rPr>
              <w:t xml:space="preserve">0 — Prove (safely)</w:t>
            </w:r>
          </w:p>
        </w:tc>
        <w:tc>
          <w:tcPr>
            <w:tcW w:type="dxa" w:w="1200"/>
            <w:tcMar>
              <w:top w:type="dxa" w:w="70"/>
              <w:left w:type="dxa" w:w="100"/>
              <w:bottom w:type="dxa" w:w="70"/>
              <w:right w:type="dxa" w:w="100"/>
            </w:tcMar>
            <w:vAlign w:val="center"/>
          </w:tcPr>
          <w:p>
            <w:pPr>
              <w:spacing w:after="0" w:line="250" w:lineRule="auto"/>
            </w:pPr>
            <w:r>
              <w:rPr>
                <w:b w:val="false"/>
                <w:bCs w:val="false"/>
                <w:sz w:val="15"/>
                <w:szCs w:val="15"/>
              </w:rPr>
              <w:t xml:space="preserve">0–3</w:t>
            </w:r>
          </w:p>
        </w:tc>
        <w:tc>
          <w:tcPr>
            <w:tcW w:type="dxa" w:w="4450"/>
            <w:tcMar>
              <w:top w:type="dxa" w:w="70"/>
              <w:left w:type="dxa" w:w="100"/>
              <w:bottom w:type="dxa" w:w="70"/>
              <w:right w:type="dxa" w:w="100"/>
            </w:tcMar>
            <w:vAlign w:val="center"/>
          </w:tcPr>
          <w:p>
            <w:pPr>
              <w:spacing w:after="0" w:line="250" w:lineRule="auto"/>
            </w:pPr>
            <w:r>
              <w:rPr>
                <w:b w:val="false"/>
                <w:bCs w:val="false"/>
                <w:sz w:val="15"/>
                <w:szCs w:val="15"/>
              </w:rPr>
              <w:t xml:space="preserve">MVP around Provenance + File Fixer, mostly Wizard-of-Oz: hand-curated census of ~10–15 targets (Schufa, infoscore/Experian, CRIF + the named brokers AZ Direct, Acxiom, Deutsche Post Direkt, Schober/Capaneo). Core loop = the Art 15(1)(g) provenance request + a single Art 15 Datenkopie + Art 21(2)/Art 17 at named brokers, ticket state machine with the one-month clock, manual Art 77 drafting. Identity binding (bank-ident), the untrusted-document sandbox, the evidence ledger, and the visual/guided UX (section 9.5) are all in from day one. Fraud Shield v1 = breach monitoring + guided Identitätsbetrug-Einmeldung.</w:t>
            </w:r>
          </w:p>
        </w:tc>
        <w:tc>
          <w:tcPr>
            <w:tcW w:type="dxa" w:w="2596"/>
            <w:tcMar>
              <w:top w:type="dxa" w:w="70"/>
              <w:left w:type="dxa" w:w="100"/>
              <w:bottom w:type="dxa" w:w="70"/>
              <w:right w:type="dxa" w:w="100"/>
            </w:tcMar>
            <w:vAlign w:val="center"/>
          </w:tcPr>
          <w:p>
            <w:pPr>
              <w:spacing w:after="0" w:line="250" w:lineRule="auto"/>
            </w:pPr>
            <w:r>
              <w:rPr>
                <w:b w:val="false"/>
                <w:bCs w:val="false"/>
                <w:sz w:val="15"/>
                <w:szCs w:val="15"/>
              </w:rPr>
              <w:t xml:space="preserve">Paying users at €5–10/mo; provenance answers parsed for ≥10 users; zero identity-binding or usability-gate gaps.</w:t>
            </w:r>
          </w:p>
        </w:tc>
      </w:tr>
      <w:tr>
        <w:trPr>
          <w:cantSplit/>
        </w:trPr>
        <w:tc>
          <w:tcPr>
            <w:tcW w:type="dxa" w:w="1500"/>
            <w:shd w:fill="F3F6FA" w:color="auto" w:val="clear"/>
            <w:tcMar>
              <w:top w:type="dxa" w:w="70"/>
              <w:left w:type="dxa" w:w="100"/>
              <w:bottom w:type="dxa" w:w="70"/>
              <w:right w:type="dxa" w:w="100"/>
            </w:tcMar>
            <w:vAlign w:val="center"/>
          </w:tcPr>
          <w:p>
            <w:pPr>
              <w:spacing w:after="0" w:line="250" w:lineRule="auto"/>
            </w:pPr>
            <w:r>
              <w:rPr>
                <w:b w:val="false"/>
                <w:bCs w:val="false"/>
                <w:sz w:val="15"/>
                <w:szCs w:val="15"/>
              </w:rPr>
              <w:t xml:space="preserve">1 — Automate</w:t>
            </w:r>
          </w:p>
        </w:tc>
        <w:tc>
          <w:tcPr>
            <w:tcW w:type="dxa" w:w="1200"/>
            <w:shd w:fill="F3F6FA" w:color="auto" w:val="clear"/>
            <w:tcMar>
              <w:top w:type="dxa" w:w="70"/>
              <w:left w:type="dxa" w:w="100"/>
              <w:bottom w:type="dxa" w:w="70"/>
              <w:right w:type="dxa" w:w="100"/>
            </w:tcMar>
            <w:vAlign w:val="center"/>
          </w:tcPr>
          <w:p>
            <w:pPr>
              <w:spacing w:after="0" w:line="250" w:lineRule="auto"/>
            </w:pPr>
            <w:r>
              <w:rPr>
                <w:b w:val="false"/>
                <w:bCs w:val="false"/>
                <w:sz w:val="15"/>
                <w:szCs w:val="15"/>
              </w:rPr>
              <w:t xml:space="preserve">3–9</w:t>
            </w:r>
          </w:p>
        </w:tc>
        <w:tc>
          <w:tcPr>
            <w:tcW w:type="dxa" w:w="4450"/>
            <w:shd w:fill="F3F6FA" w:color="auto" w:val="clear"/>
            <w:tcMar>
              <w:top w:type="dxa" w:w="70"/>
              <w:left w:type="dxa" w:w="100"/>
              <w:bottom w:type="dxa" w:w="70"/>
              <w:right w:type="dxa" w:w="100"/>
            </w:tcMar>
            <w:vAlign w:val="center"/>
          </w:tcPr>
          <w:p>
            <w:pPr>
              <w:spacing w:after="0" w:line="250" w:lineRule="auto"/>
            </w:pPr>
            <w:r>
              <w:rPr>
                <w:b w:val="false"/>
                <w:bCs w:val="false"/>
                <w:sz w:val="15"/>
                <w:szCs w:val="15"/>
              </w:rPr>
              <w:t xml:space="preserve">Controller Gateway (throttling, idempotency, aligned send domains, QTSP timestamps); OCR provenance-ledger pipeline for postal replies; automated Art 77 escalation on the clock and on incomplete answers; File Fixer error-hunting + retention + inquiry-hygiene disputes; census to ~40 controllers; subscription launch.</w:t>
            </w:r>
          </w:p>
        </w:tc>
        <w:tc>
          <w:tcPr>
            <w:tcW w:type="dxa" w:w="2596"/>
            <w:shd w:fill="F3F6FA" w:color="auto" w:val="clear"/>
            <w:tcMar>
              <w:top w:type="dxa" w:w="70"/>
              <w:left w:type="dxa" w:w="100"/>
              <w:bottom w:type="dxa" w:w="70"/>
              <w:right w:type="dxa" w:w="100"/>
            </w:tcMar>
            <w:vAlign w:val="center"/>
          </w:tcPr>
          <w:p>
            <w:pPr>
              <w:spacing w:after="0" w:line="250" w:lineRule="auto"/>
            </w:pPr>
            <w:r>
              <w:rPr>
                <w:b w:val="false"/>
                <w:bCs w:val="false"/>
                <w:sz w:val="15"/>
                <w:szCs w:val="15"/>
              </w:rPr>
              <w:t xml:space="preserve">Blended cost per action &lt;€1.50 (postal) / &lt;€0.50 (digital); free→paid conversion ≥2–3%; first broker-source erasures verified.</w:t>
            </w:r>
          </w:p>
        </w:tc>
      </w:tr>
      <w:tr>
        <w:trPr>
          <w:cantSplit/>
        </w:trPr>
        <w:tc>
          <w:tcPr>
            <w:tcW w:type="dxa" w:w="1500"/>
            <w:tcMar>
              <w:top w:type="dxa" w:w="70"/>
              <w:left w:type="dxa" w:w="100"/>
              <w:bottom w:type="dxa" w:w="70"/>
              <w:right w:type="dxa" w:w="100"/>
            </w:tcMar>
            <w:vAlign w:val="center"/>
          </w:tcPr>
          <w:p>
            <w:pPr>
              <w:spacing w:after="0" w:line="250" w:lineRule="auto"/>
            </w:pPr>
            <w:r>
              <w:rPr>
                <w:b w:val="false"/>
                <w:bCs w:val="false"/>
                <w:sz w:val="15"/>
                <w:szCs w:val="15"/>
              </w:rPr>
              <w:t xml:space="preserve">2 — Differentiate</w:t>
            </w:r>
          </w:p>
        </w:tc>
        <w:tc>
          <w:tcPr>
            <w:tcW w:type="dxa" w:w="1200"/>
            <w:tcMar>
              <w:top w:type="dxa" w:w="70"/>
              <w:left w:type="dxa" w:w="100"/>
              <w:bottom w:type="dxa" w:w="70"/>
              <w:right w:type="dxa" w:w="100"/>
            </w:tcMar>
            <w:vAlign w:val="center"/>
          </w:tcPr>
          <w:p>
            <w:pPr>
              <w:spacing w:after="0" w:line="250" w:lineRule="auto"/>
            </w:pPr>
            <w:r>
              <w:rPr>
                <w:b w:val="false"/>
                <w:bCs w:val="false"/>
                <w:sz w:val="15"/>
                <w:szCs w:val="15"/>
              </w:rPr>
              <w:t xml:space="preserve">9–18</w:t>
            </w:r>
          </w:p>
        </w:tc>
        <w:tc>
          <w:tcPr>
            <w:tcW w:type="dxa" w:w="4450"/>
            <w:tcMar>
              <w:top w:type="dxa" w:w="70"/>
              <w:left w:type="dxa" w:w="100"/>
              <w:bottom w:type="dxa" w:w="70"/>
              <w:right w:type="dxa" w:w="100"/>
            </w:tcMar>
            <w:vAlign w:val="center"/>
          </w:tcPr>
          <w:p>
            <w:pPr>
              <w:spacing w:after="0" w:line="250" w:lineRule="auto"/>
            </w:pPr>
            <w:r>
              <w:rPr>
                <w:b w:val="false"/>
                <w:bCs w:val="false"/>
                <w:sz w:val="15"/>
                <w:szCs w:val="15"/>
              </w:rPr>
              <w:t xml:space="preserve">Public facts-only provenance &amp; compliance scoreboard (how each bureau answers the same Art 15(1)(g) question); File Fixer 12-criteria simulator + C-203/22 explanation demands; alias/receipts attribution; browser Copilot beta as acquisition surface (site grades, GPC, Consent-O-Matic); L2 sandboxed agents for the form tail.</w:t>
            </w:r>
          </w:p>
        </w:tc>
        <w:tc>
          <w:tcPr>
            <w:tcW w:type="dxa" w:w="2596"/>
            <w:tcMar>
              <w:top w:type="dxa" w:w="70"/>
              <w:left w:type="dxa" w:w="100"/>
              <w:bottom w:type="dxa" w:w="70"/>
              <w:right w:type="dxa" w:w="100"/>
            </w:tcMar>
            <w:vAlign w:val="center"/>
          </w:tcPr>
          <w:p>
            <w:pPr>
              <w:spacing w:after="0" w:line="250" w:lineRule="auto"/>
            </w:pPr>
            <w:r>
              <w:rPr>
                <w:b w:val="false"/>
                <w:bCs w:val="false"/>
                <w:sz w:val="15"/>
                <w:szCs w:val="15"/>
              </w:rPr>
              <w:t xml:space="preserve">Verified outcomes &gt;60% at 90 days; measurable DSAR-response uplift; Datenlieferanten/scoreboard cited in press.</w:t>
            </w:r>
          </w:p>
        </w:tc>
      </w:tr>
      <w:tr>
        <w:trPr>
          <w:cantSplit/>
        </w:trPr>
        <w:tc>
          <w:tcPr>
            <w:tcW w:type="dxa" w:w="1500"/>
            <w:shd w:fill="F3F6FA" w:color="auto" w:val="clear"/>
            <w:tcMar>
              <w:top w:type="dxa" w:w="70"/>
              <w:left w:type="dxa" w:w="100"/>
              <w:bottom w:type="dxa" w:w="70"/>
              <w:right w:type="dxa" w:w="100"/>
            </w:tcMar>
            <w:vAlign w:val="center"/>
          </w:tcPr>
          <w:p>
            <w:pPr>
              <w:spacing w:after="0" w:line="250" w:lineRule="auto"/>
            </w:pPr>
            <w:r>
              <w:rPr>
                <w:b w:val="false"/>
                <w:bCs w:val="false"/>
                <w:sz w:val="15"/>
                <w:szCs w:val="15"/>
              </w:rPr>
              <w:t xml:space="preserve">3 — Expand</w:t>
            </w:r>
          </w:p>
        </w:tc>
        <w:tc>
          <w:tcPr>
            <w:tcW w:type="dxa" w:w="1200"/>
            <w:shd w:fill="F3F6FA" w:color="auto" w:val="clear"/>
            <w:tcMar>
              <w:top w:type="dxa" w:w="70"/>
              <w:left w:type="dxa" w:w="100"/>
              <w:bottom w:type="dxa" w:w="70"/>
              <w:right w:type="dxa" w:w="100"/>
            </w:tcMar>
            <w:vAlign w:val="center"/>
          </w:tcPr>
          <w:p>
            <w:pPr>
              <w:spacing w:after="0" w:line="250" w:lineRule="auto"/>
            </w:pPr>
            <w:r>
              <w:rPr>
                <w:b w:val="false"/>
                <w:bCs w:val="false"/>
                <w:sz w:val="15"/>
                <w:szCs w:val="15"/>
              </w:rPr>
              <w:t xml:space="preserve">18–36</w:t>
            </w:r>
          </w:p>
        </w:tc>
        <w:tc>
          <w:tcPr>
            <w:tcW w:type="dxa" w:w="4450"/>
            <w:shd w:fill="F3F6FA" w:color="auto" w:val="clear"/>
            <w:tcMar>
              <w:top w:type="dxa" w:w="70"/>
              <w:left w:type="dxa" w:w="100"/>
              <w:bottom w:type="dxa" w:w="70"/>
              <w:right w:type="dxa" w:w="100"/>
            </w:tcMar>
            <w:vAlign w:val="center"/>
          </w:tcPr>
          <w:p>
            <w:pPr>
              <w:spacing w:after="0" w:line="250" w:lineRule="auto"/>
            </w:pPr>
            <w:r>
              <w:rPr>
                <w:b w:val="false"/>
                <w:bCs w:val="false"/>
                <w:sz w:val="15"/>
                <w:szCs w:val="15"/>
              </w:rPr>
              <w:t xml:space="preserve">DACH first (Austria + Switzerland — shared language, shared CRIF/Intrum provenance targets). Then UK (Companies House suppression + electoral-roll cleanup + DUAA) and Sweden (post-Lexbase söktjänst cleanup, BankID, IMY). Quebec next as a dedicated French-language effort (Law 25 s.28.1). Japan evaluated as a law-firm-partnered build. B2B employee protection throughout.</w:t>
            </w:r>
          </w:p>
        </w:tc>
        <w:tc>
          <w:tcPr>
            <w:tcW w:type="dxa" w:w="2596"/>
            <w:shd w:fill="F3F6FA" w:color="auto" w:val="clear"/>
            <w:tcMar>
              <w:top w:type="dxa" w:w="70"/>
              <w:left w:type="dxa" w:w="100"/>
              <w:bottom w:type="dxa" w:w="70"/>
              <w:right w:type="dxa" w:w="100"/>
            </w:tcMar>
            <w:vAlign w:val="center"/>
          </w:tcPr>
          <w:p>
            <w:pPr>
              <w:spacing w:after="0" w:line="250" w:lineRule="auto"/>
            </w:pPr>
            <w:r>
              <w:rPr>
                <w:b w:val="false"/>
                <w:bCs w:val="false"/>
                <w:sz w:val="15"/>
                <w:szCs w:val="15"/>
              </w:rPr>
              <w:t xml:space="preserve">Unit economics holding at scale; a proven second-country playbook; B2B pilot revenue.</w:t>
            </w:r>
          </w:p>
        </w:tc>
      </w:tr>
    </w:tbl>
    <w:p>
      <w:pPr>
        <w:spacing w:after="160" w:line="276" w:lineRule="auto"/>
      </w:pPr>
      <w:r>
        <w:t xml:space="preserve">The sequencing logic: prove demand with humans before building robots, but never defer safety or usability — identity binding, the document sandbox and the visual/guided UX all ship in Phase 0. Lead with the two modules that are both defensible and unbuilt (Provenance and File Fixer), with Fraud Shield as the emotional front door; automate what proved out (Phase 1); ship the public scoreboard, the simulator and the Copilot acquisition surface (Phase 2); then expand along the leverage-first order from section 8: DACH, then UK and Sweden, then Quebec, with Japan as the long-horizon prize gated on legal structure rather than technology. Every phase feeds the census, and the census compounds.</w:t>
      </w:r>
    </w:p>
    <w:p>
      <w:pPr>
        <w:pStyle w:val="Heading1"/>
      </w:pPr>
      <w:r>
        <w:t xml:space="preserve">16. Sources</w:t>
      </w:r>
    </w:p>
    <w:p>
      <w:pPr>
        <w:spacing w:after="160" w:line="276" w:lineRule="auto"/>
      </w:pPr>
      <w:r>
        <w:rPr>
          <w:color w:val="5A6472"/>
          <w:sz w:val="18"/>
          <w:szCs w:val="18"/>
        </w:rPr>
        <w:t xml:space="preserve">Key sources behind the claims in this report; retrieved 2 August 2026. Market-size figures are directional (low-credibility sizing sources flagged in text).</w:t>
      </w:r>
    </w:p>
    <w:p>
      <w:pPr>
        <w:pStyle w:val="Heading2"/>
      </w:pPr>
      <w:r>
        <w:t xml:space="preserve">Regulation and rulings</w:t>
      </w:r>
    </w:p>
    <w:p>
      <w:pPr>
        <w:spacing w:after="50"/>
      </w:pPr>
      <w:r>
        <w:rPr>
          <w:color w:val="5A6472"/>
          <w:sz w:val="18"/>
          <w:szCs w:val="18"/>
        </w:rPr>
        <w:t xml:space="preserve">CJEU C-634/21 — Schufa scoring as automated decision (analysis) — </w:t>
      </w:r>
      <w:hyperlink w:history="1" r:id="rIdl90dboogbi_yi8ig-9tjs">
        <w:r>
          <w:rPr>
            <w:rStyle w:val="Hyperlink"/>
            <w:sz w:val="18"/>
            <w:szCs w:val="18"/>
          </w:rPr>
          <w:t xml:space="preserve">www.tlt.com/insights-and-events/insight/schufa-case-cjeu-rules-on-scope-of-article-22</w:t>
        </w:r>
      </w:hyperlink>
    </w:p>
    <w:p>
      <w:pPr>
        <w:spacing w:after="50"/>
      </w:pPr>
      <w:r>
        <w:rPr>
          <w:color w:val="5A6472"/>
          <w:sz w:val="18"/>
          <w:szCs w:val="18"/>
        </w:rPr>
        <w:t xml:space="preserve">CJEU C-203/22 — right to explanation vs trade secrets (Stibbe) — </w:t>
      </w:r>
      <w:hyperlink w:history="1" r:id="rIdtodxeaj1a8ic28xrbnd3q">
        <w:r>
          <w:rPr>
            <w:rStyle w:val="Hyperlink"/>
            <w:sz w:val="18"/>
            <w:szCs w:val="18"/>
          </w:rPr>
          <w:t xml:space="preserve">www.stibbe.com/publications-and-insights/cjeu-confirms-right-of-explanation-in-battle-between-trade-secrets-and</w:t>
        </w:r>
      </w:hyperlink>
    </w:p>
    <w:p>
      <w:pPr>
        <w:spacing w:after="50"/>
      </w:pPr>
      <w:r>
        <w:rPr>
          <w:color w:val="5A6472"/>
          <w:sz w:val="18"/>
          <w:szCs w:val="18"/>
        </w:rPr>
        <w:t xml:space="preserve">noyb — 83.5% of access requests not properly answered (Apr 2026) — </w:t>
      </w:r>
      <w:hyperlink w:history="1" r:id="rId9bsyexbhqa2h5xecclxoz">
        <w:r>
          <w:rPr>
            <w:rStyle w:val="Hyperlink"/>
            <w:sz w:val="18"/>
            <w:szCs w:val="18"/>
          </w:rPr>
          <w:t xml:space="preserve">noyb.eu/en/digital-omnibus-reality-check-835-access-requests-not-properly-answered</w:t>
        </w:r>
      </w:hyperlink>
    </w:p>
    <w:p>
      <w:pPr>
        <w:spacing w:after="50"/>
      </w:pPr>
      <w:r>
        <w:rPr>
          <w:color w:val="5A6472"/>
          <w:sz w:val="18"/>
          <w:szCs w:val="18"/>
        </w:rPr>
        <w:t xml:space="preserve">noyb — Xandr 0% response rate — </w:t>
      </w:r>
      <w:hyperlink w:history="1" r:id="rId65-troobgnse0dqtalf_p">
        <w:r>
          <w:rPr>
            <w:rStyle w:val="Hyperlink"/>
            <w:sz w:val="18"/>
            <w:szCs w:val="18"/>
          </w:rPr>
          <w:t xml:space="preserve">noyb.eu/en/microsofts-xandr-grants-gdpr-rights-rate-0</w:t>
        </w:r>
      </w:hyperlink>
    </w:p>
    <w:p>
      <w:pPr>
        <w:spacing w:after="50"/>
      </w:pPr>
      <w:r>
        <w:rPr>
          <w:color w:val="5A6472"/>
          <w:sz w:val="18"/>
          <w:szCs w:val="18"/>
        </w:rPr>
        <w:t xml:space="preserve">EDPB — 2025 coordinated enforcement on right to erasure — </w:t>
      </w:r>
      <w:hyperlink w:history="1" r:id="rIdothx_saycwvbd_y-fjvuf">
        <w:r>
          <w:rPr>
            <w:rStyle w:val="Hyperlink"/>
            <w:sz w:val="18"/>
            <w:szCs w:val="18"/>
          </w:rPr>
          <w:t xml:space="preserve">www.edpb.europa.eu/news/news/2025/cef-2025-launch-coordinated-enforcement-right-erasure_en</w:t>
        </w:r>
      </w:hyperlink>
    </w:p>
    <w:p>
      <w:pPr>
        <w:spacing w:after="50"/>
      </w:pPr>
      <w:r>
        <w:rPr>
          <w:color w:val="5A6472"/>
          <w:sz w:val="18"/>
          <w:szCs w:val="18"/>
        </w:rPr>
        <w:t xml:space="preserve">Reed Smith — takeaways from the EDPB erasure report (2026) — </w:t>
      </w:r>
      <w:hyperlink w:history="1" r:id="rIdqo3tfvulcmkhhfdm0x6qe">
        <w:r>
          <w:rPr>
            <w:rStyle w:val="Hyperlink"/>
            <w:sz w:val="18"/>
            <w:szCs w:val="18"/>
          </w:rPr>
          <w:t xml:space="preserve">www.reedsmith.com/our-insights/blogs/viewpoints/102mm9l/edpb-report-on-the-right-to-erasure-key-takeaways-from-the-2025-coordinated-enfo</w:t>
        </w:r>
      </w:hyperlink>
    </w:p>
    <w:p>
      <w:pPr>
        <w:spacing w:after="50"/>
      </w:pPr>
      <w:r>
        <w:rPr>
          <w:color w:val="5A6472"/>
          <w:sz w:val="18"/>
          <w:szCs w:val="18"/>
        </w:rPr>
        <w:t xml:space="preserve">noyb — CRIF/AZ Direct purpose-limitation ruling (Austria) — </w:t>
      </w:r>
      <w:hyperlink w:history="1" r:id="rIdqlpwfrtwytskb58umtpvd">
        <w:r>
          <w:rPr>
            <w:rStyle w:val="Hyperlink"/>
            <w:sz w:val="18"/>
            <w:szCs w:val="18"/>
          </w:rPr>
          <w:t xml:space="preserve">noyb.eu/en/majority-credit-bureau-crif-database-illegal</w:t>
        </w:r>
      </w:hyperlink>
    </w:p>
    <w:p>
      <w:pPr>
        <w:spacing w:after="50"/>
      </w:pPr>
      <w:r>
        <w:rPr>
          <w:color w:val="5A6472"/>
          <w:sz w:val="18"/>
          <w:szCs w:val="18"/>
        </w:rPr>
        <w:t xml:space="preserve">noyb — BayLDA vs CRIF Bürgel/Acxiom (Germany) — </w:t>
      </w:r>
      <w:hyperlink w:history="1" r:id="rId1cnyz6w1brgjri_w6jdwt">
        <w:r>
          <w:rPr>
            <w:rStyle w:val="Hyperlink"/>
            <w:sz w:val="18"/>
            <w:szCs w:val="18"/>
          </w:rPr>
          <w:t xml:space="preserve">noyb.eu/en/data-trading-between-credit-agency-and-address-trader-illegal</w:t>
        </w:r>
      </w:hyperlink>
    </w:p>
    <w:p>
      <w:pPr>
        <w:spacing w:after="50"/>
      </w:pPr>
      <w:r>
        <w:rPr>
          <w:color w:val="5A6472"/>
          <w:sz w:val="18"/>
          <w:szCs w:val="18"/>
        </w:rPr>
        <w:t xml:space="preserve">CPPA — Data broker registry &amp; DROP requirements — </w:t>
      </w:r>
      <w:hyperlink w:history="1" r:id="rIdbq5y1b8otnxopfmgq-6he">
        <w:r>
          <w:rPr>
            <w:rStyle w:val="Hyperlink"/>
            <w:sz w:val="18"/>
            <w:szCs w:val="18"/>
          </w:rPr>
          <w:t xml:space="preserve">cppa.ca.gov/data_brokers</w:t>
        </w:r>
      </w:hyperlink>
    </w:p>
    <w:p>
      <w:pPr>
        <w:spacing w:after="50"/>
      </w:pPr>
      <w:r>
        <w:rPr>
          <w:color w:val="5A6472"/>
          <w:sz w:val="18"/>
          <w:szCs w:val="18"/>
        </w:rPr>
        <w:t xml:space="preserve">Alston — DROP obligations due August 2026 — </w:t>
      </w:r>
      <w:hyperlink w:history="1" r:id="rIdwhntz_efs4ecdd4cq9lus">
        <w:r>
          <w:rPr>
            <w:rStyle w:val="Hyperlink"/>
            <w:sz w:val="18"/>
            <w:szCs w:val="18"/>
          </w:rPr>
          <w:t xml:space="preserve">www.alstonprivacy.com/drop-is-coming-due-what-californias-delete-act-means-for-data-brokers-in-august</w:t>
        </w:r>
      </w:hyperlink>
    </w:p>
    <w:p>
      <w:pPr>
        <w:spacing w:after="50"/>
      </w:pPr>
      <w:r>
        <w:rPr>
          <w:color w:val="5A6472"/>
          <w:sz w:val="18"/>
          <w:szCs w:val="18"/>
        </w:rPr>
        <w:t xml:space="preserve">Federal Register — CFPB withdrawal of FCRA data-broker rule (May 2025) — </w:t>
      </w:r>
      <w:hyperlink w:history="1" r:id="rIdl-3gqpigrigonqxv3mq-g">
        <w:r>
          <w:rPr>
            <w:rStyle w:val="Hyperlink"/>
            <w:sz w:val="18"/>
            <w:szCs w:val="18"/>
          </w:rPr>
          <w:t xml:space="preserve">www.federalregister.gov/documents/2025/05/15/2025-08644/protecting-americans-from-harmful-data-broker-practices-regulation-v-withdrawal-of-proposed-rule</w:t>
        </w:r>
      </w:hyperlink>
    </w:p>
    <w:p>
      <w:pPr>
        <w:spacing w:after="50"/>
      </w:pPr>
      <w:r>
        <w:rPr>
          <w:color w:val="5A6472"/>
          <w:sz w:val="18"/>
          <w:szCs w:val="18"/>
        </w:rPr>
        <w:t xml:space="preserve">Koley Jessen — universal opt-out mechanisms by state — </w:t>
      </w:r>
      <w:hyperlink w:history="1" r:id="rIdxtltvokk1vscapnxxzesf">
        <w:r>
          <w:rPr>
            <w:rStyle w:val="Hyperlink"/>
            <w:sz w:val="18"/>
            <w:szCs w:val="18"/>
          </w:rPr>
          <w:t xml:space="preserve">www.koleyjessen.com/insights/publications/universal-opt-out-mechanisms-explained</w:t>
        </w:r>
      </w:hyperlink>
    </w:p>
    <w:p>
      <w:pPr>
        <w:spacing w:after="50"/>
      </w:pPr>
      <w:r>
        <w:rPr>
          <w:color w:val="5A6472"/>
          <w:sz w:val="18"/>
          <w:szCs w:val="18"/>
        </w:rPr>
        <w:t xml:space="preserve">Gibson Dunn — AI Act omnibus: high-risk deadlines postponed — </w:t>
      </w:r>
      <w:hyperlink w:history="1" r:id="rId8yahsd1tkrbcgsznofhl-">
        <w:r>
          <w:rPr>
            <w:rStyle w:val="Hyperlink"/>
            <w:sz w:val="18"/>
            <w:szCs w:val="18"/>
          </w:rPr>
          <w:t xml:space="preserve">www.gibsondunn.com/eu-ai-act-omnibus-agreement-postponed-high-risk-deadlines-and-other-key-changes</w:t>
        </w:r>
      </w:hyperlink>
    </w:p>
    <w:p>
      <w:pPr>
        <w:spacing w:after="50"/>
      </w:pPr>
      <w:r>
        <w:rPr>
          <w:color w:val="5A6472"/>
          <w:sz w:val="18"/>
          <w:szCs w:val="18"/>
        </w:rPr>
        <w:t xml:space="preserve">Verfassungsblog — Digital Omnibus and the right of access — </w:t>
      </w:r>
      <w:hyperlink w:history="1" r:id="rIdgzrxbh2rw_bgwlr--krpf">
        <w:r>
          <w:rPr>
            <w:rStyle w:val="Hyperlink"/>
            <w:sz w:val="18"/>
            <w:szCs w:val="18"/>
          </w:rPr>
          <w:t xml:space="preserve">verfassungsblog.de/digital-omnibus-right-of-access-to-personal-data</w:t>
        </w:r>
      </w:hyperlink>
    </w:p>
    <w:p>
      <w:pPr>
        <w:spacing w:after="50"/>
      </w:pPr>
      <w:r>
        <w:rPr>
          <w:color w:val="5A6472"/>
          <w:sz w:val="18"/>
          <w:szCs w:val="18"/>
        </w:rPr>
        <w:t xml:space="preserve">PwC Legal — the 2026 Schufa score reforms — </w:t>
      </w:r>
      <w:hyperlink w:history="1" r:id="rId5rcns5is1t7e3qh_ciqik">
        <w:r>
          <w:rPr>
            <w:rStyle w:val="Hyperlink"/>
            <w:sz w:val="18"/>
            <w:szCs w:val="18"/>
          </w:rPr>
          <w:t xml:space="preserve">legal.pwc.de/en/news/articles/the-2026-schufa-score-reforms-and-implications-for-financial-services-firms</w:t>
        </w:r>
      </w:hyperlink>
    </w:p>
    <w:p>
      <w:pPr>
        <w:spacing w:after="50"/>
      </w:pPr>
      <w:r>
        <w:rPr>
          <w:color w:val="5A6472"/>
          <w:sz w:val="18"/>
          <w:szCs w:val="18"/>
        </w:rPr>
        <w:t xml:space="preserve">Verbraucherzentrale — the new Schufa score — </w:t>
      </w:r>
      <w:hyperlink w:history="1" r:id="rId-6sooxyvyr3bwdnxb0l_6">
        <w:r>
          <w:rPr>
            <w:rStyle w:val="Hyperlink"/>
            <w:sz w:val="18"/>
            <w:szCs w:val="18"/>
          </w:rPr>
          <w:t xml:space="preserve">www.verbraucherzentrale.de/wissen/vertraege-reklamation/kundenrechte/neuer-schufascore-die-wichtigsten-infos-123061</w:t>
        </w:r>
      </w:hyperlink>
    </w:p>
    <w:p>
      <w:pPr>
        <w:spacing w:after="50"/>
      </w:pPr>
      <w:r>
        <w:rPr>
          <w:color w:val="5A6472"/>
          <w:sz w:val="18"/>
          <w:szCs w:val="18"/>
        </w:rPr>
        <w:t xml:space="preserve">LTO — BGH on retention of settled Schufa entries (Dec 2025) — </w:t>
      </w:r>
      <w:hyperlink w:history="1" r:id="rIdneimrzm6srmi3u_gmgm88">
        <w:r>
          <w:rPr>
            <w:rStyle w:val="Hyperlink"/>
            <w:sz w:val="18"/>
            <w:szCs w:val="18"/>
          </w:rPr>
          <w:t xml:space="preserve">www.lto.de/recht/nachrichten/n/bgh-izr9725-schufa-daten-speicherung-zahlungsausfall-datenschutz-scoring</w:t>
        </w:r>
      </w:hyperlink>
    </w:p>
    <w:p>
      <w:pPr>
        <w:spacing w:after="50"/>
      </w:pPr>
      <w:r>
        <w:rPr>
          <w:color w:val="5A6472"/>
          <w:sz w:val="18"/>
          <w:szCs w:val="18"/>
        </w:rPr>
        <w:t xml:space="preserve">ICO — statement on Experian Upper Tribunal ruling (2024) — </w:t>
      </w:r>
      <w:hyperlink w:history="1" r:id="rId8phu3l4br_o768j3qk3hp">
        <w:r>
          <w:rPr>
            <w:rStyle w:val="Hyperlink"/>
            <w:sz w:val="18"/>
            <w:szCs w:val="18"/>
          </w:rPr>
          <w:t xml:space="preserve">ico.org.uk/about-the-ico/media-centre/news-and-blogs/2024/04/ico-statement-on-upper-tribunal-ruling</w:t>
        </w:r>
      </w:hyperlink>
    </w:p>
    <w:p>
      <w:pPr>
        <w:pStyle w:val="Heading2"/>
      </w:pPr>
      <w:r>
        <w:t xml:space="preserve">Schufa scoring, the supply chain &amp; bureaus</w:t>
      </w:r>
    </w:p>
    <w:p>
      <w:pPr>
        <w:spacing w:after="50"/>
      </w:pPr>
      <w:r>
        <w:rPr>
          <w:color w:val="5A6472"/>
          <w:sz w:val="18"/>
          <w:szCs w:val="18"/>
        </w:rPr>
        <w:t xml:space="preserve">SCHUFA — data used to calculate scores (no social-network data) — </w:t>
      </w:r>
      <w:hyperlink w:history="1" r:id="rIddxrann9vtajrk4yycvvaz">
        <w:r>
          <w:rPr>
            <w:rStyle w:val="Hyperlink"/>
            <w:sz w:val="18"/>
            <w:szCs w:val="18"/>
          </w:rPr>
          <w:t xml:space="preserve">www.schufa.de/faq/privatpersonen/scoring/welche-daten-nutzt-die-schufa-zur-berechnung-von-scores.jsp</w:t>
        </w:r>
      </w:hyperlink>
    </w:p>
    <w:p>
      <w:pPr>
        <w:spacing w:after="50"/>
      </w:pPr>
      <w:r>
        <w:rPr>
          <w:color w:val="5A6472"/>
          <w:sz w:val="18"/>
          <w:szCs w:val="18"/>
        </w:rPr>
        <w:t xml:space="preserve">SCHUFA — Art. 14 privacy notice (section 2.3 "Datenlieferanten") — </w:t>
      </w:r>
      <w:hyperlink w:history="1" r:id="rIdhyabkcoy6_5g9efmutzxc">
        <w:r>
          <w:rPr>
            <w:rStyle w:val="Hyperlink"/>
            <w:sz w:val="18"/>
            <w:szCs w:val="18"/>
          </w:rPr>
          <w:t xml:space="preserve">www.schufa.de/datenschutz</w:t>
        </w:r>
      </w:hyperlink>
    </w:p>
    <w:p>
      <w:pPr>
        <w:spacing w:after="50"/>
      </w:pPr>
      <w:r>
        <w:rPr>
          <w:color w:val="5A6472"/>
          <w:sz w:val="18"/>
          <w:szCs w:val="18"/>
        </w:rPr>
        <w:t xml:space="preserve">SCHUFA — Wohngegend not used in score calculation — </w:t>
      </w:r>
      <w:hyperlink w:history="1" r:id="rIdyd34fqzoav_ehioiklinc">
        <w:r>
          <w:rPr>
            <w:rStyle w:val="Hyperlink"/>
            <w:sz w:val="18"/>
            <w:szCs w:val="18"/>
          </w:rPr>
          <w:t xml:space="preserve">www.schufa.de/faq/privatpersonen/scoring/fliessen-daten-zur-wohngegend-in-die-berechnung-der-schufa-scores-mit-ein.jsp</w:t>
        </w:r>
      </w:hyperlink>
    </w:p>
    <w:p>
      <w:pPr>
        <w:spacing w:after="50"/>
      </w:pPr>
      <w:r>
        <w:rPr>
          <w:color w:val="5A6472"/>
          <w:sz w:val="18"/>
          <w:szCs w:val="18"/>
        </w:rPr>
        <w:t xml:space="preserve">bonify — the new 12 criteria and weights — </w:t>
      </w:r>
      <w:hyperlink w:history="1" r:id="rIdwjv8kmcmhvz6gxksaitgx">
        <w:r>
          <w:rPr>
            <w:rStyle w:val="Hyperlink"/>
            <w:sz w:val="18"/>
            <w:szCs w:val="18"/>
          </w:rPr>
          <w:t xml:space="preserve">www.bonify.de/12-kriterien-schufa-score</w:t>
        </w:r>
      </w:hyperlink>
    </w:p>
    <w:p>
      <w:pPr>
        <w:spacing w:after="50"/>
      </w:pPr>
      <w:r>
        <w:rPr>
          <w:color w:val="5A6472"/>
          <w:sz w:val="18"/>
          <w:szCs w:val="18"/>
        </w:rPr>
        <w:t xml:space="preserve">Stiftung Warentest — geodata in ~0.3% of scores (Mar 2026) — </w:t>
      </w:r>
      <w:hyperlink w:history="1" r:id="rIdrxtuogtzus3zum6m-vx-k">
        <w:r>
          <w:rPr>
            <w:rStyle w:val="Hyperlink"/>
            <w:sz w:val="18"/>
            <w:szCs w:val="18"/>
          </w:rPr>
          <w:t xml:space="preserve">www.test.de/Gewusst-wie-Schufa-Daten-pruefen-4530316-0</w:t>
        </w:r>
      </w:hyperlink>
    </w:p>
    <w:p>
      <w:pPr>
        <w:spacing w:after="50"/>
      </w:pPr>
      <w:r>
        <w:rPr>
          <w:color w:val="5A6472"/>
          <w:sz w:val="18"/>
          <w:szCs w:val="18"/>
        </w:rPr>
        <w:t xml:space="preserve">SCHUFALab@HPI — Schufa halts social-media scoring project (2012) — </w:t>
      </w:r>
      <w:hyperlink w:history="1" r:id="rIdl1lolec5mg5cpk1wdg-z1">
        <w:r>
          <w:rPr>
            <w:rStyle w:val="Hyperlink"/>
            <w:sz w:val="18"/>
            <w:szCs w:val="18"/>
          </w:rPr>
          <w:t xml:space="preserve">www.spiegel.de/netzwelt/netzpolitik/schufa-facebook-plaene-hpi-kuendigt-zusammenarbeit-auf-a-838001.html</w:t>
        </w:r>
      </w:hyperlink>
    </w:p>
    <w:p>
      <w:pPr>
        <w:spacing w:after="50"/>
      </w:pPr>
      <w:r>
        <w:rPr>
          <w:color w:val="5A6472"/>
          <w:sz w:val="18"/>
          <w:szCs w:val="18"/>
        </w:rPr>
        <w:t xml:space="preserve">Experian/infoscore — Art. 14 notice (names AZ Direct; neighbourhood defaults in score) — </w:t>
      </w:r>
      <w:hyperlink w:history="1" r:id="rIdsrsj7z4fi0z32xzvefg4f">
        <w:r>
          <w:rPr>
            <w:rStyle w:val="Hyperlink"/>
            <w:sz w:val="18"/>
            <w:szCs w:val="18"/>
          </w:rPr>
          <w:t xml:space="preserve">www.experian.de/icd-infoblatt</w:t>
        </w:r>
      </w:hyperlink>
    </w:p>
    <w:p>
      <w:pPr>
        <w:spacing w:after="50"/>
      </w:pPr>
      <w:r>
        <w:rPr>
          <w:color w:val="5A6472"/>
          <w:sz w:val="18"/>
          <w:szCs w:val="18"/>
        </w:rPr>
        <w:t xml:space="preserve">Verbraucherzentrale — how to request data at Schufa &amp; co (Boniversum→Experian) — </w:t>
      </w:r>
      <w:hyperlink w:history="1" r:id="rIdcibkmmnmgroabmztvnxvz">
        <w:r>
          <w:rPr>
            <w:rStyle w:val="Hyperlink"/>
            <w:sz w:val="18"/>
            <w:szCs w:val="18"/>
          </w:rPr>
          <w:t xml:space="preserve">www.verbraucherzentrale.de/wissen/digitale-welt/datenschutz/scoring-mit-kundendaten-so-verlangen-sie-auskunft-bei-schufa-co-12756</w:t>
        </w:r>
      </w:hyperlink>
    </w:p>
    <w:p>
      <w:pPr>
        <w:spacing w:after="50"/>
      </w:pPr>
      <w:r>
        <w:rPr>
          <w:color w:val="5A6472"/>
          <w:sz w:val="18"/>
          <w:szCs w:val="18"/>
        </w:rPr>
        <w:t xml:space="preserve">Bundeskartellamt — sector inquiry into scoring in online shopping (Jun 2024) — </w:t>
      </w:r>
      <w:hyperlink w:history="1" r:id="rIdr_jf-1b3uj8ymg9vy6qs_">
        <w:r>
          <w:rPr>
            <w:rStyle w:val="Hyperlink"/>
            <w:sz w:val="18"/>
            <w:szCs w:val="18"/>
          </w:rPr>
          <w:t xml:space="preserve">www.bundeskartellamt.de/SharedDocs/Meldung/DE/Pressemitteilungen/2024/19_06_2024_SU_Scoring.html</w:t>
        </w:r>
      </w:hyperlink>
    </w:p>
    <w:p>
      <w:pPr>
        <w:spacing w:after="50"/>
      </w:pPr>
      <w:r>
        <w:rPr>
          <w:color w:val="5A6472"/>
          <w:sz w:val="18"/>
          <w:szCs w:val="18"/>
        </w:rPr>
        <w:t xml:space="preserve">noyb — Austrian DSB: majority of CRIF database illegal (AZ Direct) — </w:t>
      </w:r>
      <w:hyperlink w:history="1" r:id="rIddjttdtl7zznysz4xkyjow">
        <w:r>
          <w:rPr>
            <w:rStyle w:val="Hyperlink"/>
            <w:sz w:val="18"/>
            <w:szCs w:val="18"/>
          </w:rPr>
          <w:t xml:space="preserve">noyb.eu/en/majority-credit-bureau-crif-database-illegal</w:t>
        </w:r>
      </w:hyperlink>
    </w:p>
    <w:p>
      <w:pPr>
        <w:spacing w:after="50"/>
      </w:pPr>
      <w:r>
        <w:rPr>
          <w:color w:val="5A6472"/>
          <w:sz w:val="18"/>
          <w:szCs w:val="18"/>
        </w:rPr>
        <w:t xml:space="preserve">noyb — BayLDA: CRIF/Acxiom data trading illegal (Feb 2024) — </w:t>
      </w:r>
      <w:hyperlink w:history="1" r:id="rIdr2szlqhqu_lyh5cisuxw9">
        <w:r>
          <w:rPr>
            <w:rStyle w:val="Hyperlink"/>
            <w:sz w:val="18"/>
            <w:szCs w:val="18"/>
          </w:rPr>
          <w:t xml:space="preserve">noyb.eu/en/data-trading-between-credit-agency-and-address-trader-illegal</w:t>
        </w:r>
      </w:hyperlink>
    </w:p>
    <w:p>
      <w:pPr>
        <w:spacing w:after="50"/>
      </w:pPr>
      <w:r>
        <w:rPr>
          <w:color w:val="5A6472"/>
          <w:sz w:val="18"/>
          <w:szCs w:val="18"/>
        </w:rPr>
        <w:t xml:space="preserve">noyb — CRIF injunction &amp; class action (Jun 2026) — </w:t>
      </w:r>
      <w:hyperlink w:history="1" r:id="rIdvw5y4ag6xoohi2d7wyv0l">
        <w:r>
          <w:rPr>
            <w:rStyle w:val="Hyperlink"/>
            <w:sz w:val="18"/>
            <w:szCs w:val="18"/>
          </w:rPr>
          <w:t xml:space="preserve">noyb.eu/en/secret-scoring-join-crif-class-action-now</w:t>
        </w:r>
      </w:hyperlink>
    </w:p>
    <w:p>
      <w:pPr>
        <w:spacing w:after="50"/>
      </w:pPr>
      <w:r>
        <w:rPr>
          <w:color w:val="5A6472"/>
          <w:sz w:val="18"/>
          <w:szCs w:val="18"/>
        </w:rPr>
        <w:t xml:space="preserve">netzpolitik — Schufa "Schattendatenbank" of historical data (Jul 2026) — </w:t>
      </w:r>
      <w:hyperlink w:history="1" r:id="rIdm9r4aemtbaarjny3dm5gi">
        <w:r>
          <w:rPr>
            <w:rStyle w:val="Hyperlink"/>
            <w:sz w:val="18"/>
            <w:szCs w:val="18"/>
          </w:rPr>
          <w:t xml:space="preserve">netzpolitik.org/2026/daten-skandal-schufa-speichert-alte-datensaetze-ueber-millionen-von-menschen</w:t>
        </w:r>
      </w:hyperlink>
    </w:p>
    <w:p>
      <w:pPr>
        <w:spacing w:after="50"/>
      </w:pPr>
      <w:r>
        <w:rPr>
          <w:color w:val="5A6472"/>
          <w:sz w:val="18"/>
          <w:szCs w:val="18"/>
        </w:rPr>
        <w:t xml:space="preserve">HBDI — new Code of Conduct for credit bureaus (retention only; May 2024) — </w:t>
      </w:r>
      <w:hyperlink w:history="1" r:id="rIdvmldqgeythk3-vpknivds">
        <w:r>
          <w:rPr>
            <w:rStyle w:val="Hyperlink"/>
            <w:sz w:val="18"/>
            <w:szCs w:val="18"/>
          </w:rPr>
          <w:t xml:space="preserve">datenschutz.hessen.de/presse/hbdi-genehmigt-neue-verhaltensregeln-fuer-auskunfteien</w:t>
        </w:r>
      </w:hyperlink>
    </w:p>
    <w:p>
      <w:pPr>
        <w:spacing w:after="50"/>
      </w:pPr>
      <w:r>
        <w:rPr>
          <w:color w:val="5A6472"/>
          <w:sz w:val="18"/>
          <w:szCs w:val="18"/>
        </w:rPr>
        <w:t xml:space="preserve">SCHUFA — identity-fraud victim reporting (Identitätsbetrug-Einmeldung) — </w:t>
      </w:r>
      <w:hyperlink w:history="1" r:id="rId2gl6bxm1jv4ibzwmh8g0i">
        <w:r>
          <w:rPr>
            <w:rStyle w:val="Hyperlink"/>
            <w:sz w:val="18"/>
            <w:szCs w:val="18"/>
          </w:rPr>
          <w:t xml:space="preserve">www.schufa.de/kontakt/einmeldung-identitaetsbetrug</w:t>
        </w:r>
      </w:hyperlink>
    </w:p>
    <w:p>
      <w:pPr>
        <w:spacing w:after="50"/>
      </w:pPr>
      <w:r>
        <w:rPr>
          <w:color w:val="5A6472"/>
          <w:sz w:val="18"/>
          <w:szCs w:val="18"/>
        </w:rPr>
        <w:t xml:space="preserve">Verbraucherzentrale — consequences of identity theft — </w:t>
      </w:r>
      <w:hyperlink w:history="1" r:id="rIdtlujcwfpxjdzue4tu9apu">
        <w:r>
          <w:rPr>
            <w:rStyle w:val="Hyperlink"/>
            <w:sz w:val="18"/>
            <w:szCs w:val="18"/>
          </w:rPr>
          <w:t xml:space="preserve">www.verbraucherzentrale.de/wissen/digitale-welt/datenschutz/welche-folgen-identitaetsdiebstahl-im-internet-haben-kann-17750</w:t>
        </w:r>
      </w:hyperlink>
    </w:p>
    <w:p>
      <w:pPr>
        <w:spacing w:after="50"/>
      </w:pPr>
      <w:r>
        <w:rPr>
          <w:color w:val="5A6472"/>
          <w:sz w:val="18"/>
          <w:szCs w:val="18"/>
        </w:rPr>
        <w:t xml:space="preserve">SEON — what an email address reveals (thin footprint as risk signal) — </w:t>
      </w:r>
      <w:hyperlink w:history="1" r:id="rIdtqukhhbpduxdy2jhtt2tr">
        <w:r>
          <w:rPr>
            <w:rStyle w:val="Hyperlink"/>
            <w:sz w:val="18"/>
            <w:szCs w:val="18"/>
          </w:rPr>
          <w:t xml:space="preserve">seon.io/resources/what-can-an-email-address-reveal-about-your-users</w:t>
        </w:r>
      </w:hyperlink>
    </w:p>
    <w:p>
      <w:pPr>
        <w:spacing w:after="50"/>
      </w:pPr>
      <w:r>
        <w:rPr>
          <w:color w:val="5A6472"/>
          <w:sz w:val="18"/>
          <w:szCs w:val="18"/>
        </w:rPr>
        <w:t xml:space="preserve">heise — infoscore data leak, ~8m Germans (Nov 2024) — </w:t>
      </w:r>
      <w:hyperlink w:history="1" r:id="rIdblwrwj7bn4jag5ow_rgtc">
        <w:r>
          <w:rPr>
            <w:rStyle w:val="Hyperlink"/>
            <w:sz w:val="18"/>
            <w:szCs w:val="18"/>
          </w:rPr>
          <w:t xml:space="preserve">www.heise.de/en/news/Major-data-leak-Sensitive-credit-rating-data-freely-available-online-10082095.html</w:t>
        </w:r>
      </w:hyperlink>
    </w:p>
    <w:p>
      <w:pPr>
        <w:spacing w:after="50"/>
      </w:pPr>
      <w:r>
        <w:rPr>
          <w:color w:val="5A6472"/>
          <w:sz w:val="18"/>
          <w:szCs w:val="18"/>
        </w:rPr>
        <w:t xml:space="preserve">BlnBDI — model objection letter for Deutsche Post Direkt — </w:t>
      </w:r>
      <w:hyperlink w:history="1" r:id="rIdr-y4jczq7eo4_jodbu2pn">
        <w:r>
          <w:rPr>
            <w:rStyle w:val="Hyperlink"/>
            <w:sz w:val="18"/>
            <w:szCs w:val="18"/>
          </w:rPr>
          <w:t xml:space="preserve">www.datenschutz-berlin.de/fileadmin/user_upload/pdf/pressemitteilungen/2018/BlnBDI-09_Deutsche_Post_Direkt_GmbH_Widerspruch.pdf</w:t>
        </w:r>
      </w:hyperlink>
    </w:p>
    <w:p>
      <w:pPr>
        <w:spacing w:after="50"/>
      </w:pPr>
      <w:r>
        <w:rPr>
          <w:color w:val="5A6472"/>
          <w:sz w:val="18"/>
          <w:szCs w:val="18"/>
        </w:rPr>
        <w:t xml:space="preserve">BGH — settled negative entries need not be deleted immediately (Dec 2025) — </w:t>
      </w:r>
      <w:hyperlink w:history="1" r:id="rIdk4oyqyyovyietbobm6f5f">
        <w:r>
          <w:rPr>
            <w:rStyle w:val="Hyperlink"/>
            <w:sz w:val="18"/>
            <w:szCs w:val="18"/>
          </w:rPr>
          <w:t xml:space="preserve">www.bundesgerichtshof.de/SharedDocs/Pressemitteilungen/DE/2025/2025233.html</w:t>
        </w:r>
      </w:hyperlink>
    </w:p>
    <w:p>
      <w:pPr>
        <w:pStyle w:val="Heading2"/>
      </w:pPr>
      <w:r>
        <w:t xml:space="preserve">Competitors, market and effectiveness</w:t>
      </w:r>
    </w:p>
    <w:p>
      <w:pPr>
        <w:spacing w:after="50"/>
      </w:pPr>
      <w:r>
        <w:rPr>
          <w:color w:val="5A6472"/>
          <w:sz w:val="18"/>
          <w:szCs w:val="18"/>
        </w:rPr>
        <w:t xml:space="preserve">Consumer Reports — Data Defense study (2024) — </w:t>
      </w:r>
      <w:hyperlink w:history="1" r:id="rIdjyqnqjh2xdxui6hxlcqi7">
        <w:r>
          <w:rPr>
            <w:rStyle w:val="Hyperlink"/>
            <w:sz w:val="18"/>
            <w:szCs w:val="18"/>
          </w:rPr>
          <w:t xml:space="preserve">innovation.consumerreports.org/new-report-data-defense-evaluating-people-search-site-removal-services</w:t>
        </w:r>
      </w:hyperlink>
    </w:p>
    <w:p>
      <w:pPr>
        <w:spacing w:after="50"/>
      </w:pPr>
      <w:r>
        <w:rPr>
          <w:color w:val="5A6472"/>
          <w:sz w:val="18"/>
          <w:szCs w:val="18"/>
        </w:rPr>
        <w:t xml:space="preserve">Consumer Reports — press release on removal-service effectiveness — </w:t>
      </w:r>
      <w:hyperlink w:history="1" r:id="rIdpca-a4-bijr0ehxkxcjtt">
        <w:r>
          <w:rPr>
            <w:rStyle w:val="Hyperlink"/>
            <w:sz w:val="18"/>
            <w:szCs w:val="18"/>
          </w:rPr>
          <w:t xml:space="preserve">advocacy.consumerreports.org/press_release/consumer-reports-evaluation-of-people-search-site-removal-services-finds-that-they-are-largely-ineffective</w:t>
        </w:r>
      </w:hyperlink>
    </w:p>
    <w:p>
      <w:pPr>
        <w:spacing w:after="50"/>
      </w:pPr>
      <w:r>
        <w:rPr>
          <w:color w:val="5A6472"/>
          <w:sz w:val="18"/>
          <w:szCs w:val="18"/>
        </w:rPr>
        <w:t xml:space="preserve">Privacy Guides — EasyOptOuts hands-on review (2025) — </w:t>
      </w:r>
      <w:hyperlink w:history="1" r:id="rIdcms_ai0icpziyuoiulire">
        <w:r>
          <w:rPr>
            <w:rStyle w:val="Hyperlink"/>
            <w:sz w:val="18"/>
            <w:szCs w:val="18"/>
          </w:rPr>
          <w:t xml:space="preserve">www.privacyguides.org/articles/2025/02/03/easyoptouts-review</w:t>
        </w:r>
      </w:hyperlink>
    </w:p>
    <w:p>
      <w:pPr>
        <w:spacing w:after="50"/>
      </w:pPr>
      <w:r>
        <w:rPr>
          <w:color w:val="5A6472"/>
          <w:sz w:val="18"/>
          <w:szCs w:val="18"/>
        </w:rPr>
        <w:t xml:space="preserve">Krebs on Security — Mozilla and the Onerep conflict of interest — </w:t>
      </w:r>
      <w:hyperlink w:history="1" r:id="rId15c_njjmiais3axo6rhnj">
        <w:r>
          <w:rPr>
            <w:rStyle w:val="Hyperlink"/>
            <w:sz w:val="18"/>
            <w:szCs w:val="18"/>
          </w:rPr>
          <w:t xml:space="preserve">krebsonsecurity.com/2025/11/mozilla-says-its-finally-done-with-two-faced-onerep</w:t>
        </w:r>
      </w:hyperlink>
    </w:p>
    <w:p>
      <w:pPr>
        <w:spacing w:after="50"/>
      </w:pPr>
      <w:r>
        <w:rPr>
          <w:color w:val="5A6472"/>
          <w:sz w:val="18"/>
          <w:szCs w:val="18"/>
        </w:rPr>
        <w:t xml:space="preserve">Mozilla — Monitor Plus shutdown notice — </w:t>
      </w:r>
      <w:hyperlink w:history="1" r:id="rId4r8tzyx90lp-ykavrketi">
        <w:r>
          <w:rPr>
            <w:rStyle w:val="Hyperlink"/>
            <w:sz w:val="18"/>
            <w:szCs w:val="18"/>
          </w:rPr>
          <w:t xml:space="preserve">support.mozilla.org/en-US/kb/monitor-plus-shutting-down</w:t>
        </w:r>
      </w:hyperlink>
    </w:p>
    <w:p>
      <w:pPr>
        <w:spacing w:after="50"/>
      </w:pPr>
      <w:r>
        <w:rPr>
          <w:color w:val="5A6472"/>
          <w:sz w:val="18"/>
          <w:szCs w:val="18"/>
        </w:rPr>
        <w:t xml:space="preserve">GlobeNewswire — DeleteMe acquires Permission Slip (Jul 2026) — </w:t>
      </w:r>
      <w:hyperlink w:history="1" r:id="rIdsnocghlkak5u9e8fgkq9m">
        <w:r>
          <w:rPr>
            <w:rStyle w:val="Hyperlink"/>
            <w:sz w:val="18"/>
            <w:szCs w:val="18"/>
          </w:rPr>
          <w:t xml:space="preserve">www.globenewswire.com/news-release/2026/07/30/3336081/0/en/DeleteMe-Acquires-Permission-Slip-from-Consumer-Reports-to-Expand-Consumer-Privacy-and-Data-Rights-Protection.html</w:t>
        </w:r>
      </w:hyperlink>
    </w:p>
    <w:p>
      <w:pPr>
        <w:spacing w:after="50"/>
      </w:pPr>
      <w:r>
        <w:rPr>
          <w:color w:val="5A6472"/>
          <w:sz w:val="18"/>
          <w:szCs w:val="18"/>
        </w:rPr>
        <w:t xml:space="preserve">TechCrunch — Cloaked raises 375M USD (Mar 2026) — </w:t>
      </w:r>
      <w:hyperlink w:history="1" r:id="rIdytvb7x31m2gkgqcgs446m">
        <w:r>
          <w:rPr>
            <w:rStyle w:val="Hyperlink"/>
            <w:sz w:val="18"/>
            <w:szCs w:val="18"/>
          </w:rPr>
          <w:t xml:space="preserve">techcrunch.com/2026/03/19/consumer-focused-privacy-company-cloaked-raises-375m-as-it-expands-to-enterprise</w:t>
        </w:r>
      </w:hyperlink>
    </w:p>
    <w:p>
      <w:pPr>
        <w:spacing w:after="50"/>
      </w:pPr>
      <w:r>
        <w:rPr>
          <w:color w:val="5A6472"/>
          <w:sz w:val="18"/>
          <w:szCs w:val="18"/>
        </w:rPr>
        <w:t xml:space="preserve">Calcalist — McAfee acquires Mine’s consumer app (Nov 2025) — </w:t>
      </w:r>
      <w:hyperlink w:history="1" r:id="rIdqpcc5ccb9gvijkkh7b6_3">
        <w:r>
          <w:rPr>
            <w:rStyle w:val="Hyperlink"/>
            <w:sz w:val="18"/>
            <w:szCs w:val="18"/>
          </w:rPr>
          <w:t xml:space="preserve">www.calcalistech.com/ctechnews/article/r1hsfefzzg</w:t>
        </w:r>
      </w:hyperlink>
    </w:p>
    <w:p>
      <w:pPr>
        <w:spacing w:after="50"/>
      </w:pPr>
      <w:r>
        <w:rPr>
          <w:color w:val="5A6472"/>
          <w:sz w:val="18"/>
          <w:szCs w:val="18"/>
        </w:rPr>
        <w:t xml:space="preserve">Incogni — coverage and Deloitte attestation (overview) — </w:t>
      </w:r>
      <w:hyperlink w:history="1" r:id="rId6idwfyuakndsvovssacky">
        <w:r>
          <w:rPr>
            <w:rStyle w:val="Hyperlink"/>
            <w:sz w:val="18"/>
            <w:szCs w:val="18"/>
          </w:rPr>
          <w:t xml:space="preserve">en.wikipedia.org/wiki/Incogni</w:t>
        </w:r>
      </w:hyperlink>
    </w:p>
    <w:p>
      <w:pPr>
        <w:spacing w:after="50"/>
      </w:pPr>
      <w:r>
        <w:rPr>
          <w:color w:val="5A6472"/>
          <w:sz w:val="18"/>
          <w:szCs w:val="18"/>
        </w:rPr>
        <w:t xml:space="preserve">Datenputzer — German-native removal service (thesis validation) — </w:t>
      </w:r>
      <w:hyperlink w:history="1" r:id="rId1te0mssnapuer75zmzze6">
        <w:r>
          <w:rPr>
            <w:rStyle w:val="Hyperlink"/>
            <w:sz w:val="18"/>
            <w:szCs w:val="18"/>
          </w:rPr>
          <w:t xml:space="preserve">datenputzer.de/blog/incogni-alternative-datenputzer</w:t>
        </w:r>
      </w:hyperlink>
    </w:p>
    <w:p>
      <w:pPr>
        <w:spacing w:after="50"/>
      </w:pPr>
      <w:r>
        <w:rPr>
          <w:color w:val="5A6472"/>
          <w:sz w:val="18"/>
          <w:szCs w:val="18"/>
        </w:rPr>
        <w:t xml:space="preserve">datenanfragen.de / datarequests.org — German GDPR-request nonprofit — </w:t>
      </w:r>
      <w:hyperlink w:history="1" r:id="rIdq8btoliqmsyskrarnyccy">
        <w:r>
          <w:rPr>
            <w:rStyle w:val="Hyperlink"/>
            <w:sz w:val="18"/>
            <w:szCs w:val="18"/>
          </w:rPr>
          <w:t xml:space="preserve">www.datarequests.org</w:t>
        </w:r>
      </w:hyperlink>
    </w:p>
    <w:p>
      <w:pPr>
        <w:spacing w:after="50"/>
      </w:pPr>
      <w:r>
        <w:rPr>
          <w:color w:val="5A6472"/>
          <w:sz w:val="18"/>
          <w:szCs w:val="18"/>
        </w:rPr>
        <w:t xml:space="preserve">Security.org — data-removal service usage study (2026) — </w:t>
      </w:r>
      <w:hyperlink w:history="1" r:id="rIdtyuah1yglz-zuchf6n0ip">
        <w:r>
          <w:rPr>
            <w:rStyle w:val="Hyperlink"/>
            <w:sz w:val="18"/>
            <w:szCs w:val="18"/>
          </w:rPr>
          <w:t xml:space="preserve">www.security.org/resources/data-removal-service-usage-study</w:t>
        </w:r>
      </w:hyperlink>
    </w:p>
    <w:p>
      <w:pPr>
        <w:spacing w:after="50"/>
      </w:pPr>
      <w:r>
        <w:rPr>
          <w:color w:val="5A6472"/>
          <w:sz w:val="18"/>
          <w:szCs w:val="18"/>
        </w:rPr>
        <w:t xml:space="preserve">netzpolitik.org — Databroker Files overview — </w:t>
      </w:r>
      <w:hyperlink w:history="1" r:id="rIdxz4wbg3pltzzv06sodwzz">
        <w:r>
          <w:rPr>
            <w:rStyle w:val="Hyperlink"/>
            <w:sz w:val="18"/>
            <w:szCs w:val="18"/>
          </w:rPr>
          <w:t xml:space="preserve">netzpolitik.org/2024/databroker-files-die-grosse-datenhaendler-recherche-im-ueberblick</w:t>
        </w:r>
      </w:hyperlink>
    </w:p>
    <w:p>
      <w:pPr>
        <w:pStyle w:val="Heading2"/>
      </w:pPr>
      <w:r>
        <w:t xml:space="preserve">International markets</w:t>
      </w:r>
    </w:p>
    <w:p>
      <w:pPr>
        <w:spacing w:after="50"/>
      </w:pPr>
      <w:r>
        <w:rPr>
          <w:color w:val="5A6472"/>
          <w:sz w:val="18"/>
          <w:szCs w:val="18"/>
        </w:rPr>
        <w:t xml:space="preserve">CJEU C-199/24 (Lexbase) — publishing certificate does not exempt from GDPR (9 Jul 2026) — </w:t>
      </w:r>
      <w:hyperlink w:history="1" r:id="rId5twlx22wm5w3cid0sby4n">
        <w:r>
          <w:rPr>
            <w:rStyle w:val="Hyperlink"/>
            <w:sz w:val="18"/>
            <w:szCs w:val="18"/>
          </w:rPr>
          <w:t xml:space="preserve">ipcuria.eu/case?reference=C-199%2F24</w:t>
        </w:r>
      </w:hyperlink>
    </w:p>
    <w:p>
      <w:pPr>
        <w:spacing w:after="50"/>
      </w:pPr>
      <w:r>
        <w:rPr>
          <w:color w:val="5A6472"/>
          <w:sz w:val="18"/>
          <w:szCs w:val="18"/>
        </w:rPr>
        <w:t xml:space="preserve">Lindahl — CJEU limits Sweden’s ability to restrict the GDPR (C-199/24) — </w:t>
      </w:r>
      <w:hyperlink w:history="1" r:id="rIdmwysalsmtr_tb5mk8kpvk">
        <w:r>
          <w:rPr>
            <w:rStyle w:val="Hyperlink"/>
            <w:sz w:val="18"/>
            <w:szCs w:val="18"/>
          </w:rPr>
          <w:t xml:space="preserve">www.lindahl.se/en/latest-news/cases-and-transactions/the-cjeu-sets-limits-on-swedens-ability-to-restrict-the-application-of-the-gdpr</w:t>
        </w:r>
      </w:hyperlink>
    </w:p>
    <w:p>
      <w:pPr>
        <w:spacing w:after="50"/>
      </w:pPr>
      <w:r>
        <w:rPr>
          <w:color w:val="5A6472"/>
          <w:sz w:val="18"/>
          <w:szCs w:val="18"/>
        </w:rPr>
        <w:t xml:space="preserve">SOU 2024:75 — Swedish reform of media-constitution protection for search services — </w:t>
      </w:r>
      <w:hyperlink w:history="1" r:id="rIdrimgdx0x-2bvni8mp_ect">
        <w:r>
          <w:rPr>
            <w:rStyle w:val="Hyperlink"/>
            <w:sz w:val="18"/>
            <w:szCs w:val="18"/>
          </w:rPr>
          <w:t xml:space="preserve">www.regeringen.se/remisser/2024/11/remiss-av-sou-202475-personuppgifter-och-mediegrundlagarna</w:t>
        </w:r>
      </w:hyperlink>
    </w:p>
    <w:p>
      <w:pPr>
        <w:spacing w:after="50"/>
      </w:pPr>
      <w:r>
        <w:rPr>
          <w:color w:val="5A6472"/>
          <w:sz w:val="18"/>
          <w:szCs w:val="18"/>
        </w:rPr>
        <w:t xml:space="preserve">DFRI — how to remove yourself from Swedish söktjänster (Ratsit, Mrkoll, Lexbase...) — </w:t>
      </w:r>
      <w:hyperlink w:history="1" r:id="rIdp_njpnu0hvrbfsbtkqcx6">
        <w:r>
          <w:rPr>
            <w:rStyle w:val="Hyperlink"/>
            <w:sz w:val="18"/>
            <w:szCs w:val="18"/>
          </w:rPr>
          <w:t xml:space="preserve">www.dfri.se/sv/engagera-dig/hur-tar-jag-bort</w:t>
        </w:r>
      </w:hyperlink>
    </w:p>
    <w:p>
      <w:pPr>
        <w:spacing w:after="50"/>
      </w:pPr>
      <w:r>
        <w:rPr>
          <w:color w:val="5A6472"/>
          <w:sz w:val="18"/>
          <w:szCs w:val="18"/>
        </w:rPr>
        <w:t xml:space="preserve">DLA Piper — Canada tables Bill C-36 (Jun 2026) — </w:t>
      </w:r>
      <w:hyperlink w:history="1" r:id="rId46vexpcoqcvk8fubhvodz">
        <w:r>
          <w:rPr>
            <w:rStyle w:val="Hyperlink"/>
            <w:sz w:val="18"/>
            <w:szCs w:val="18"/>
          </w:rPr>
          <w:t xml:space="preserve">www.dlapiper.com/en/insights/publications/2026/06/canada-tables-bill-c36-the-protecting-privacy-and-consumer-data-act</w:t>
        </w:r>
      </w:hyperlink>
    </w:p>
    <w:p>
      <w:pPr>
        <w:spacing w:after="50"/>
      </w:pPr>
      <w:r>
        <w:rPr>
          <w:color w:val="5A6472"/>
          <w:sz w:val="18"/>
          <w:szCs w:val="18"/>
        </w:rPr>
        <w:t xml:space="preserve">Quebec Law 25 s.28.1 — cease-dissemination &amp; de-indexing (explainer) — </w:t>
      </w:r>
      <w:hyperlink w:history="1" r:id="rIdrv6eujpcmzv2ntm9oi1n7">
        <w:r>
          <w:rPr>
            <w:rStyle w:val="Hyperlink"/>
            <w:sz w:val="18"/>
            <w:szCs w:val="18"/>
          </w:rPr>
          <w:t xml:space="preserve">watchdogsecurity.io/law25/right-to-de-indexation-and-cessation-of-dissemination</w:t>
        </w:r>
      </w:hyperlink>
    </w:p>
    <w:p>
      <w:pPr>
        <w:spacing w:after="50"/>
      </w:pPr>
      <w:r>
        <w:rPr>
          <w:color w:val="5A6472"/>
          <w:sz w:val="18"/>
          <w:szCs w:val="18"/>
        </w:rPr>
        <w:t xml:space="preserve">Optery — country availability (Canada excl. Quebec; AU/NZ from Mar 2026) — </w:t>
      </w:r>
      <w:hyperlink w:history="1" r:id="rIdd6dmbsigvoct1ejl--qzj">
        <w:r>
          <w:rPr>
            <w:rStyle w:val="Hyperlink"/>
            <w:sz w:val="18"/>
            <w:szCs w:val="18"/>
          </w:rPr>
          <w:t xml:space="preserve">help.optery.com/en/article/is-optery-available-in-canada-1waqlg8</w:t>
        </w:r>
      </w:hyperlink>
    </w:p>
    <w:p>
      <w:pPr>
        <w:spacing w:after="50"/>
      </w:pPr>
      <w:r>
        <w:rPr>
          <w:color w:val="5A6472"/>
          <w:sz w:val="18"/>
          <w:szCs w:val="18"/>
        </w:rPr>
        <w:t xml:space="preserve">gov.uk — Companies House: protecting your information (suppression from 18 Nov 2025) — </w:t>
      </w:r>
      <w:hyperlink w:history="1" r:id="rId8dpleqfrpfhm7-0zp19yf">
        <w:r>
          <w:rPr>
            <w:rStyle w:val="Hyperlink"/>
            <w:sz w:val="18"/>
            <w:szCs w:val="18"/>
          </w:rPr>
          <w:t xml:space="preserve">changestoukcompanylaw.campaign.gov.uk/protecting-your-information</w:t>
        </w:r>
      </w:hyperlink>
    </w:p>
    <w:p>
      <w:pPr>
        <w:spacing w:after="50"/>
      </w:pPr>
      <w:r>
        <w:rPr>
          <w:color w:val="5A6472"/>
          <w:sz w:val="18"/>
          <w:szCs w:val="18"/>
        </w:rPr>
        <w:t xml:space="preserve">UK ICO — Data (Use and Access) Act 2025: what it means for organisations — </w:t>
      </w:r>
      <w:hyperlink w:history="1" r:id="rIdelbaimrmqhpgvndmjkq4d">
        <w:r>
          <w:rPr>
            <w:rStyle w:val="Hyperlink"/>
            <w:sz w:val="18"/>
            <w:szCs w:val="18"/>
          </w:rPr>
          <w:t xml:space="preserve">ico.org.uk/about-the-ico/what-we-do/legislation-we-cover/data-use-and-access-act-2025/the-data-use-and-access-act-2025-what-does-it-mean-for-organisations</w:t>
        </w:r>
      </w:hyperlink>
    </w:p>
    <w:p>
      <w:pPr>
        <w:spacing w:after="50"/>
      </w:pPr>
      <w:r>
        <w:rPr>
          <w:color w:val="5A6472"/>
          <w:sz w:val="18"/>
          <w:szCs w:val="18"/>
        </w:rPr>
        <w:t xml:space="preserve">OAIC — statutory tort for serious invasions of privacy (Australia, Jun 2025) — </w:t>
      </w:r>
      <w:hyperlink w:history="1" r:id="rIdgcaybvrka60ahrbwv67xs">
        <w:r>
          <w:rPr>
            <w:rStyle w:val="Hyperlink"/>
            <w:sz w:val="18"/>
            <w:szCs w:val="18"/>
          </w:rPr>
          <w:t xml:space="preserve">www.oaic.gov.au/privacy/your-privacy-rights/more-privacy-rights/statutory-tort-for-serious-invasions-of-privacy</w:t>
        </w:r>
      </w:hyperlink>
    </w:p>
    <w:p>
      <w:pPr>
        <w:spacing w:after="50"/>
      </w:pPr>
      <w:r>
        <w:rPr>
          <w:color w:val="5A6472"/>
          <w:sz w:val="18"/>
          <w:szCs w:val="18"/>
        </w:rPr>
        <w:t xml:space="preserve">Japan PPC — opt-out data-broker registry portal — </w:t>
      </w:r>
      <w:hyperlink w:history="1" r:id="rIdas8gi4cdrtj4pbkoj97_-">
        <w:r>
          <w:rPr>
            <w:rStyle w:val="Hyperlink"/>
            <w:sz w:val="18"/>
            <w:szCs w:val="18"/>
          </w:rPr>
          <w:t xml:space="preserve">www.ppc.go.jp/personalinfo/legal/optout</w:t>
        </w:r>
      </w:hyperlink>
    </w:p>
    <w:p>
      <w:pPr>
        <w:spacing w:after="50"/>
      </w:pPr>
      <w:r>
        <w:rPr>
          <w:color w:val="5A6472"/>
          <w:sz w:val="18"/>
          <w:szCs w:val="18"/>
        </w:rPr>
        <w:t xml:space="preserve">CIC — credit-guidance score disclosure launch (PR, Nov 2024) — </w:t>
      </w:r>
      <w:hyperlink w:history="1" r:id="rId_izam6gvwklwedn3speec">
        <w:r>
          <w:rPr>
            <w:rStyle w:val="Hyperlink"/>
            <w:sz w:val="18"/>
            <w:szCs w:val="18"/>
          </w:rPr>
          <w:t xml:space="preserve">prtimes.jp/main/html/rd/p/000000003.000126223.html</w:t>
        </w:r>
      </w:hyperlink>
    </w:p>
    <w:p>
      <w:pPr>
        <w:spacing w:after="50"/>
      </w:pPr>
      <w:r>
        <w:rPr>
          <w:color w:val="5A6472"/>
          <w:sz w:val="18"/>
          <w:szCs w:val="18"/>
        </w:rPr>
        <w:t xml:space="preserve">ICLG — Japan Data Protection 2026 (APPI rights overview) — </w:t>
      </w:r>
      <w:hyperlink w:history="1" r:id="rIdhfht_8caq3gwtezhbylmu">
        <w:r>
          <w:rPr>
            <w:rStyle w:val="Hyperlink"/>
            <w:sz w:val="18"/>
            <w:szCs w:val="18"/>
          </w:rPr>
          <w:t xml:space="preserve">iclg.com/practice-areas/data-protection-laws-and-regulations/japan</w:t>
        </w:r>
      </w:hyperlink>
    </w:p>
    <w:p>
      <w:pPr>
        <w:spacing w:after="50"/>
      </w:pPr>
      <w:r>
        <w:rPr>
          <w:color w:val="5A6472"/>
          <w:sz w:val="18"/>
          <w:szCs w:val="18"/>
        </w:rPr>
        <w:t xml:space="preserve">KISA/PIPC — "digital eraser" free youth deletion service (South Korea) — </w:t>
      </w:r>
      <w:hyperlink w:history="1" r:id="rIdxloakhpzkhqnaodzt6poy">
        <w:r>
          <w:rPr>
            <w:rStyle w:val="Hyperlink"/>
            <w:sz w:val="18"/>
            <w:szCs w:val="18"/>
          </w:rPr>
          <w:t xml:space="preserve">www.privacy.go.kr/front/contents/cntntsView.do?contsNo=260</w:t>
        </w:r>
      </w:hyperlink>
    </w:p>
    <w:p>
      <w:pPr>
        <w:spacing w:after="50"/>
      </w:pPr>
      <w:r>
        <w:rPr>
          <w:color w:val="5A6472"/>
          <w:sz w:val="18"/>
          <w:szCs w:val="18"/>
        </w:rPr>
        <w:t xml:space="preserve">EDÖB — Moneyhouse recommendation (Switzerland) — </w:t>
      </w:r>
      <w:hyperlink w:history="1" r:id="rIdp2htxk_p0k1rntjcpqxfh">
        <w:r>
          <w:rPr>
            <w:rStyle w:val="Hyperlink"/>
            <w:sz w:val="18"/>
            <w:szCs w:val="18"/>
          </w:rPr>
          <w:t xml:space="preserve">www.edoeb.admin.ch/dam/de/sd-web/A0Vp79I-JdBG/2014%20-%20Empfehlung%20EDOEB%20zu%20Moneyhouse.pdf</w:t>
        </w:r>
      </w:hyperlink>
    </w:p>
    <w:p>
      <w:pPr>
        <w:pStyle w:val="Heading2"/>
      </w:pPr>
      <w:r>
        <w:t xml:space="preserve">Technical, security &amp; operations</w:t>
      </w:r>
    </w:p>
    <w:p>
      <w:pPr>
        <w:spacing w:after="50"/>
      </w:pPr>
      <w:r>
        <w:rPr>
          <w:color w:val="5A6472"/>
          <w:sz w:val="18"/>
          <w:szCs w:val="18"/>
        </w:rPr>
        <w:t xml:space="preserve">Cloudflare — who is crawling the web in 2025 (AI crawler data) — </w:t>
      </w:r>
      <w:hyperlink w:history="1" r:id="rIdyasmudqjbdk2klrggyi6t">
        <w:r>
          <w:rPr>
            <w:rStyle w:val="Hyperlink"/>
            <w:sz w:val="18"/>
            <w:szCs w:val="18"/>
          </w:rPr>
          <w:t xml:space="preserve">blog.cloudflare.com/from-googlebot-to-gptbot-whos-crawling-your-site-in-2025</w:t>
        </w:r>
      </w:hyperlink>
    </w:p>
    <w:p>
      <w:pPr>
        <w:spacing w:after="50"/>
      </w:pPr>
      <w:r>
        <w:rPr>
          <w:color w:val="5A6472"/>
          <w:sz w:val="18"/>
          <w:szCs w:val="18"/>
        </w:rPr>
        <w:t xml:space="preserve">Cloudflare — Pay Per Crawl announcement — </w:t>
      </w:r>
      <w:hyperlink w:history="1" r:id="rIdvbm8ey2xgosqlivmr7hga">
        <w:r>
          <w:rPr>
            <w:rStyle w:val="Hyperlink"/>
            <w:sz w:val="18"/>
            <w:szCs w:val="18"/>
          </w:rPr>
          <w:t xml:space="preserve">blog.cloudflare.com/introducing-pay-per-crawl</w:t>
        </w:r>
      </w:hyperlink>
    </w:p>
    <w:p>
      <w:pPr>
        <w:spacing w:after="50"/>
      </w:pPr>
      <w:r>
        <w:rPr>
          <w:color w:val="5A6472"/>
          <w:sz w:val="18"/>
          <w:szCs w:val="18"/>
        </w:rPr>
        <w:t xml:space="preserve">Farella — Meta v. Bright Data and the law of scraping — </w:t>
      </w:r>
      <w:hyperlink w:history="1" r:id="rIdflwbfvbla8l-tkw_1ozsw">
        <w:r>
          <w:rPr>
            <w:rStyle w:val="Hyperlink"/>
            <w:sz w:val="18"/>
            <w:szCs w:val="18"/>
          </w:rPr>
          <w:t xml:space="preserve">www.fbm.com/publications/major-decision-affects-law-of-scraping-and-online-data-collection-meta-platforms-v-bright-data</w:t>
        </w:r>
      </w:hyperlink>
    </w:p>
    <w:p>
      <w:pPr>
        <w:spacing w:after="50"/>
      </w:pPr>
      <w:r>
        <w:rPr>
          <w:color w:val="5A6472"/>
          <w:sz w:val="18"/>
          <w:szCs w:val="18"/>
        </w:rPr>
        <w:t xml:space="preserve">Chrome Developers — MV3 content-filtering improvements (DNR limits) — </w:t>
      </w:r>
      <w:hyperlink w:history="1" r:id="rId4q_edkeo1rnsqlv8pr9sx">
        <w:r>
          <w:rPr>
            <w:rStyle w:val="Hyperlink"/>
            <w:sz w:val="18"/>
            <w:szCs w:val="18"/>
          </w:rPr>
          <w:t xml:space="preserve">developer.chrome.com/blog/improvements-to-content-filtering-in-manifest-v3</w:t>
        </w:r>
      </w:hyperlink>
    </w:p>
    <w:p>
      <w:pPr>
        <w:spacing w:after="50"/>
      </w:pPr>
      <w:r>
        <w:rPr>
          <w:color w:val="5A6472"/>
          <w:sz w:val="18"/>
          <w:szCs w:val="18"/>
        </w:rPr>
        <w:t xml:space="preserve">Mozilla Hacks — CRLite: fast, private revocation checking (filter-snapshot pattern) — </w:t>
      </w:r>
      <w:hyperlink w:history="1" r:id="rIdt5zrvvlzzjl2mxydl9xlq">
        <w:r>
          <w:rPr>
            <w:rStyle w:val="Hyperlink"/>
            <w:sz w:val="18"/>
            <w:szCs w:val="18"/>
          </w:rPr>
          <w:t xml:space="preserve">hacks.mozilla.org/2025/08/crlite-fast-private-and-comprehensive-certificate-revocation-checking-in-firefox</w:t>
        </w:r>
      </w:hyperlink>
    </w:p>
    <w:p>
      <w:pPr>
        <w:spacing w:after="50"/>
      </w:pPr>
      <w:r>
        <w:rPr>
          <w:color w:val="5A6472"/>
          <w:sz w:val="18"/>
          <w:szCs w:val="18"/>
        </w:rPr>
        <w:t xml:space="preserve">Google — Safe Browsing v5 API (k-anonymity + OHTTP pattern) — </w:t>
      </w:r>
      <w:hyperlink w:history="1" r:id="rIde6hh6ibsrfms7sndt7csk">
        <w:r>
          <w:rPr>
            <w:rStyle w:val="Hyperlink"/>
            <w:sz w:val="18"/>
            <w:szCs w:val="18"/>
          </w:rPr>
          <w:t xml:space="preserve">developers.google.com/safe-browsing/reference</w:t>
        </w:r>
      </w:hyperlink>
    </w:p>
    <w:p>
      <w:pPr>
        <w:spacing w:after="50"/>
      </w:pPr>
      <w:r>
        <w:rPr>
          <w:color w:val="5A6472"/>
          <w:sz w:val="18"/>
          <w:szCs w:val="18"/>
        </w:rPr>
        <w:t xml:space="preserve">GPC — Global Privacy Control specification — </w:t>
      </w:r>
      <w:hyperlink w:history="1" r:id="rIdevgsdtirhdmdche9gibit">
        <w:r>
          <w:rPr>
            <w:rStyle w:val="Hyperlink"/>
            <w:sz w:val="18"/>
            <w:szCs w:val="18"/>
          </w:rPr>
          <w:t xml:space="preserve">w3c.github.io/gpc</w:t>
        </w:r>
      </w:hyperlink>
    </w:p>
    <w:p>
      <w:pPr>
        <w:spacing w:after="50"/>
      </w:pPr>
      <w:r>
        <w:rPr>
          <w:color w:val="5A6472"/>
          <w:sz w:val="18"/>
          <w:szCs w:val="18"/>
        </w:rPr>
        <w:t xml:space="preserve">Consent-O-Matic — automated consent responses (Aarhus University) — </w:t>
      </w:r>
      <w:hyperlink w:history="1" r:id="rIdt67zcw8m6rryc4it2li1o">
        <w:r>
          <w:rPr>
            <w:rStyle w:val="Hyperlink"/>
            <w:sz w:val="18"/>
            <w:szCs w:val="18"/>
          </w:rPr>
          <w:t xml:space="preserve">github.com/cavi-au/Consent-O-Matic</w:t>
        </w:r>
      </w:hyperlink>
    </w:p>
    <w:p>
      <w:pPr>
        <w:spacing w:after="50"/>
      </w:pPr>
      <w:r>
        <w:rPr>
          <w:color w:val="5A6472"/>
          <w:sz w:val="18"/>
          <w:szCs w:val="18"/>
        </w:rPr>
        <w:t xml:space="preserve">DuckDuckGo — Tracker Radar dataset — </w:t>
      </w:r>
      <w:hyperlink w:history="1" r:id="rIdhtc7y-lxuc7fk6fa2yu5q">
        <w:r>
          <w:rPr>
            <w:rStyle w:val="Hyperlink"/>
            <w:sz w:val="18"/>
            <w:szCs w:val="18"/>
          </w:rPr>
          <w:t xml:space="preserve">github.com/duckduckgo/tracker-radar</w:t>
        </w:r>
      </w:hyperlink>
    </w:p>
    <w:p>
      <w:pPr>
        <w:spacing w:after="50"/>
      </w:pPr>
      <w:r>
        <w:rPr>
          <w:color w:val="5A6472"/>
          <w:sz w:val="18"/>
          <w:szCs w:val="18"/>
        </w:rPr>
        <w:t xml:space="preserve">Have I Been Pwned — API subscription tiers — </w:t>
      </w:r>
      <w:hyperlink w:history="1" r:id="rIdbrbrvdfvprvwqcjrsb4nf">
        <w:r>
          <w:rPr>
            <w:rStyle w:val="Hyperlink"/>
            <w:sz w:val="18"/>
            <w:szCs w:val="18"/>
          </w:rPr>
          <w:t xml:space="preserve">haveibeenpwned.com/Subscription</w:t>
        </w:r>
      </w:hyperlink>
    </w:p>
    <w:p>
      <w:pPr>
        <w:spacing w:after="50"/>
      </w:pPr>
      <w:r>
        <w:rPr>
          <w:color w:val="5A6472"/>
          <w:sz w:val="18"/>
          <w:szCs w:val="18"/>
        </w:rPr>
        <w:t xml:space="preserve">Browser Use — AI browser-agent benchmark (2026) — </w:t>
      </w:r>
      <w:hyperlink w:history="1" r:id="rId9ndxagv5qql49mkvoxsdm">
        <w:r>
          <w:rPr>
            <w:rStyle w:val="Hyperlink"/>
            <w:sz w:val="18"/>
            <w:szCs w:val="18"/>
          </w:rPr>
          <w:t xml:space="preserve">browser-use.com/posts/ai-browser-agent-benchmark</w:t>
        </w:r>
      </w:hyperlink>
    </w:p>
    <w:p>
      <w:pPr>
        <w:spacing w:after="50"/>
      </w:pPr>
      <w:r>
        <w:rPr>
          <w:color w:val="5A6472"/>
          <w:sz w:val="18"/>
          <w:szCs w:val="18"/>
        </w:rPr>
        <w:t xml:space="preserve">USENIX Security 2025 — LightShed: defeating perturbation-based protections — </w:t>
      </w:r>
      <w:hyperlink w:history="1" r:id="rId-amnu2x_i_b8--t-8jloi">
        <w:r>
          <w:rPr>
            <w:rStyle w:val="Hyperlink"/>
            <w:sz w:val="18"/>
            <w:szCs w:val="18"/>
          </w:rPr>
          <w:t xml:space="preserve">www.usenix.org/conference/usenixsecurity25/presentation/foerster</w:t>
        </w:r>
      </w:hyperlink>
    </w:p>
    <w:p>
      <w:pPr>
        <w:spacing w:after="50"/>
      </w:pPr>
      <w:r>
        <w:rPr>
          <w:color w:val="5A6472"/>
          <w:sz w:val="18"/>
          <w:szCs w:val="18"/>
        </w:rPr>
        <w:t xml:space="preserve">Polisis — automated privacy-policy analysis (USENIX 2018) — </w:t>
      </w:r>
      <w:hyperlink w:history="1" r:id="rIdmuun3dvqevai62iwkc32s">
        <w:r>
          <w:rPr>
            <w:rStyle w:val="Hyperlink"/>
            <w:sz w:val="18"/>
            <w:szCs w:val="18"/>
          </w:rPr>
          <w:t xml:space="preserve">www.usenix.org/conference/usenixsecurity18/presentation/harkous</w:t>
        </w:r>
      </w:hyperlink>
    </w:p>
    <w:p>
      <w:pPr>
        <w:spacing w:after="50"/>
      </w:pPr>
      <w:r>
        <w:rPr>
          <w:color w:val="5A6472"/>
          <w:sz w:val="18"/>
          <w:szCs w:val="18"/>
        </w:rPr>
        <w:t xml:space="preserve">ToS;DR — developer API — </w:t>
      </w:r>
      <w:hyperlink w:history="1" r:id="rIdlujsmib7nsyd7oieq1tpz">
        <w:r>
          <w:rPr>
            <w:rStyle w:val="Hyperlink"/>
            <w:sz w:val="18"/>
            <w:szCs w:val="18"/>
          </w:rPr>
          <w:t xml:space="preserve">developers.tosdr.org</w:t>
        </w:r>
      </w:hyperlink>
    </w:p>
    <w:p>
      <w:pPr>
        <w:spacing w:after="50"/>
      </w:pPr>
      <w:r>
        <w:rPr>
          <w:color w:val="5A6472"/>
          <w:sz w:val="18"/>
          <w:szCs w:val="18"/>
        </w:rPr>
        <w:t xml:space="preserve">OpenAI — privacy request portal — </w:t>
      </w:r>
      <w:hyperlink w:history="1" r:id="rId8zbgi9abr7ylcyi5vqbgu">
        <w:r>
          <w:rPr>
            <w:rStyle w:val="Hyperlink"/>
            <w:sz w:val="18"/>
            <w:szCs w:val="18"/>
          </w:rPr>
          <w:t xml:space="preserve">privacy.openai.com</w:t>
        </w:r>
      </w:hyperlink>
    </w:p>
    <w:p>
      <w:pPr>
        <w:spacing w:after="50"/>
      </w:pPr>
      <w:r>
        <w:rPr>
          <w:color w:val="5A6472"/>
          <w:sz w:val="18"/>
          <w:szCs w:val="18"/>
        </w:rPr>
        <w:t xml:space="preserve">EDPB–EDPS — Joint Opinion 2/2026 on the Digital Omnibus — </w:t>
      </w:r>
      <w:hyperlink w:history="1" r:id="rIdqknrh_9tdg8lfso3zbwkq">
        <w:r>
          <w:rPr>
            <w:rStyle w:val="Hyperlink"/>
            <w:sz w:val="18"/>
            <w:szCs w:val="18"/>
          </w:rPr>
          <w:t xml:space="preserve">www.edpb.europa.eu/system/files/2026-02/edpb_edps_jointopinion_202602_digitalomnibus_en.pdf</w:t>
        </w:r>
      </w:hyperlink>
    </w:p>
    <w:p>
      <w:pPr>
        <w:spacing w:after="50"/>
      </w:pPr>
      <w:r>
        <w:rPr>
          <w:color w:val="5A6472"/>
          <w:sz w:val="18"/>
          <w:szCs w:val="18"/>
        </w:rPr>
        <w:t xml:space="preserve">Deutsche Post — 2026 letter postage &amp; Einschreiben surcharges — </w:t>
      </w:r>
      <w:hyperlink w:history="1" r:id="rIdfvmmpsy1vwjllzpcmanp8">
        <w:r>
          <w:rPr>
            <w:rStyle w:val="Hyperlink"/>
            <w:sz w:val="18"/>
            <w:szCs w:val="18"/>
          </w:rPr>
          <w:t xml:space="preserve">www.easynova.de/brief-wissen/briefporto</w:t>
        </w:r>
      </w:hyperlink>
    </w:p>
    <w:p>
      <w:pPr>
        <w:spacing w:after="50"/>
      </w:pPr>
      <w:r>
        <w:rPr>
          <w:color w:val="5A6472"/>
          <w:sz w:val="18"/>
          <w:szCs w:val="18"/>
        </w:rPr>
        <w:t xml:space="preserve">LetterXpress — hybrid-mail pricing (per-letter send API) — </w:t>
      </w:r>
      <w:hyperlink w:history="1" r:id="rIdfvy6l0g_8x72ws2ultqut">
        <w:r>
          <w:rPr>
            <w:rStyle w:val="Hyperlink"/>
            <w:sz w:val="18"/>
            <w:szCs w:val="18"/>
          </w:rPr>
          <w:t xml:space="preserve">www.letterxpress.de/preise</w:t>
        </w:r>
      </w:hyperlink>
    </w:p>
    <w:p>
      <w:pPr>
        <w:spacing w:after="50"/>
      </w:pPr>
      <w:r>
        <w:rPr>
          <w:color w:val="5A6472"/>
          <w:sz w:val="18"/>
          <w:szCs w:val="18"/>
        </w:rPr>
        <w:t xml:space="preserve">Deutsche Post — POSTIDENT via eID (identity verification) — </w:t>
      </w:r>
      <w:hyperlink w:history="1" r:id="rIdnscdel3vuwr5hxsydmaqe">
        <w:r>
          <w:rPr>
            <w:rStyle w:val="Hyperlink"/>
            <w:sz w:val="18"/>
            <w:szCs w:val="18"/>
          </w:rPr>
          <w:t xml:space="preserve">www.deutschepost.de/de/p/postident/geschaeftskunden/identifizierungsverfahren/verfahren-eid.html</w:t>
        </w:r>
      </w:hyperlink>
    </w:p>
    <w:p>
      <w:pPr>
        <w:spacing w:before="200"/>
      </w:pPr>
      <w:r>
        <w:rPr>
          <w:color w:val="5A6472"/>
          <w:sz w:val="18"/>
          <w:szCs w:val="18"/>
        </w:rPr>
        <w:t xml:space="preserve">Method note: three parallel research passes (competitors; regulation and scoring; technical state of the art) with claim-level source URLs, followed by independent spot-verification of load-bearing facts (DROP timeline via CPPA, CR study, Schufa score rollout, AI Act delay, Cloaked raise, Permission Slip acquisition). Facts flagged as dated or low-confidence in the text should be re-verified before external use.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3A0"/>
        <w:sz w:val="16"/>
        <w:szCs w:val="16"/>
      </w:rPr>
      <w:t xml:space="preserve">Scraper — market research &amp; technical blueprint · </w:t>
    </w:r>
    <w:r>
      <w:rPr>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40"/>
    </w:pPr>
    <w:rPr>
      <w:rFonts w:ascii="Calibri" w:cs="Calibri" w:eastAsia="Calibri" w:hAnsi="Calibri"/>
      <w:b/>
      <w:bCs/>
      <w:color w:val="1F3A5F"/>
      <w:sz w:val="30"/>
      <w:szCs w:val="30"/>
    </w:rPr>
  </w:style>
  <w:style w:type="paragraph" w:styleId="Heading2">
    <w:name w:val="Heading 2"/>
    <w:basedOn w:val="Normal"/>
    <w:next w:val="Normal"/>
    <w:qFormat/>
    <w:pPr>
      <w:spacing w:after="120" w:before="240"/>
    </w:pPr>
    <w:rPr>
      <w:rFonts w:ascii="Calibri" w:cs="Calibri" w:eastAsia="Calibri" w:hAnsi="Calibri"/>
      <w:b/>
      <w:bCs/>
      <w:color w:val="2E5077"/>
      <w:sz w:val="24"/>
      <w:szCs w:val="24"/>
    </w:rPr>
  </w:style>
  <w:style w:type="paragraph" w:styleId="Heading3">
    <w:name w:val="Heading 3"/>
    <w:basedOn w:val="Normal"/>
    <w:next w:val="Normal"/>
    <w:qFormat/>
    <w:pPr>
      <w:spacing w:after="100" w:before="180"/>
    </w:pPr>
    <w:rPr>
      <w:rFonts w:ascii="Calibri" w:cs="Calibri" w:eastAsia="Calibri" w:hAnsi="Calibri"/>
      <w:b/>
      <w:bCs/>
      <w:color w:val="3B3B3B"/>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90dboogbi_yi8ig-9tjs" Type="http://schemas.openxmlformats.org/officeDocument/2006/relationships/hyperlink" Target="https://www.tlt.com/insights-and-events/insight/schufa-case-cjeu-rules-on-scope-of-article-22" TargetMode="External"/><Relationship Id="rIdtodxeaj1a8ic28xrbnd3q" Type="http://schemas.openxmlformats.org/officeDocument/2006/relationships/hyperlink" Target="https://www.stibbe.com/publications-and-insights/cjeu-confirms-right-of-explanation-in-battle-between-trade-secrets-and" TargetMode="External"/><Relationship Id="rId9bsyexbhqa2h5xecclxoz" Type="http://schemas.openxmlformats.org/officeDocument/2006/relationships/hyperlink" Target="https://noyb.eu/en/digital-omnibus-reality-check-835-access-requests-not-properly-answered" TargetMode="External"/><Relationship Id="rId65-troobgnse0dqtalf_p" Type="http://schemas.openxmlformats.org/officeDocument/2006/relationships/hyperlink" Target="https://noyb.eu/en/microsofts-xandr-grants-gdpr-rights-rate-0" TargetMode="External"/><Relationship Id="rIdothx_saycwvbd_y-fjvuf" Type="http://schemas.openxmlformats.org/officeDocument/2006/relationships/hyperlink" Target="https://www.edpb.europa.eu/news/news/2025/cef-2025-launch-coordinated-enforcement-right-erasure_en" TargetMode="External"/><Relationship Id="rIdqo3tfvulcmkhhfdm0x6qe" Type="http://schemas.openxmlformats.org/officeDocument/2006/relationships/hyperlink" Target="https://www.reedsmith.com/our-insights/blogs/viewpoints/102mm9l/edpb-report-on-the-right-to-erasure-key-takeaways-from-the-2025-coordinated-enfo/" TargetMode="External"/><Relationship Id="rIdqlpwfrtwytskb58umtpvd" Type="http://schemas.openxmlformats.org/officeDocument/2006/relationships/hyperlink" Target="https://noyb.eu/en/majority-credit-bureau-crif-database-illegal" TargetMode="External"/><Relationship Id="rId1cnyz6w1brgjri_w6jdwt" Type="http://schemas.openxmlformats.org/officeDocument/2006/relationships/hyperlink" Target="https://noyb.eu/en/data-trading-between-credit-agency-and-address-trader-illegal" TargetMode="External"/><Relationship Id="rIdbq5y1b8otnxopfmgq-6he" Type="http://schemas.openxmlformats.org/officeDocument/2006/relationships/hyperlink" Target="https://cppa.ca.gov/data_brokers" TargetMode="External"/><Relationship Id="rIdwhntz_efs4ecdd4cq9lus" Type="http://schemas.openxmlformats.org/officeDocument/2006/relationships/hyperlink" Target="https://www.alstonprivacy.com/drop-is-coming-due-what-californias-delete-act-means-for-data-brokers-in-august/" TargetMode="External"/><Relationship Id="rIdl-3gqpigrigonqxv3mq-g" Type="http://schemas.openxmlformats.org/officeDocument/2006/relationships/hyperlink" Target="https://www.federalregister.gov/documents/2025/05/15/2025-08644/protecting-americans-from-harmful-data-broker-practices-regulation-v-withdrawal-of-proposed-rule" TargetMode="External"/><Relationship Id="rIdxtltvokk1vscapnxxzesf" Type="http://schemas.openxmlformats.org/officeDocument/2006/relationships/hyperlink" Target="https://www.koleyjessen.com/insights/publications/universal-opt-out-mechanisms-explained" TargetMode="External"/><Relationship Id="rId8yahsd1tkrbcgsznofhl-" Type="http://schemas.openxmlformats.org/officeDocument/2006/relationships/hyperlink" Target="https://www.gibsondunn.com/eu-ai-act-omnibus-agreement-postponed-high-risk-deadlines-and-other-key-changes/" TargetMode="External"/><Relationship Id="rIdgzrxbh2rw_bgwlr--krpf" Type="http://schemas.openxmlformats.org/officeDocument/2006/relationships/hyperlink" Target="https://verfassungsblog.de/digital-omnibus-right-of-access-to-personal-data/" TargetMode="External"/><Relationship Id="rId5rcns5is1t7e3qh_ciqik" Type="http://schemas.openxmlformats.org/officeDocument/2006/relationships/hyperlink" Target="https://legal.pwc.de/en/news/articles/the-2026-schufa-score-reforms-and-implications-for-financial-services-firms" TargetMode="External"/><Relationship Id="rId-6sooxyvyr3bwdnxb0l_6" Type="http://schemas.openxmlformats.org/officeDocument/2006/relationships/hyperlink" Target="https://www.verbraucherzentrale.de/wissen/vertraege-reklamation/kundenrechte/neuer-schufascore-die-wichtigsten-infos-123061" TargetMode="External"/><Relationship Id="rIdneimrzm6srmi3u_gmgm88" Type="http://schemas.openxmlformats.org/officeDocument/2006/relationships/hyperlink" Target="https://www.lto.de/recht/nachrichten/n/bgh-izr9725-schufa-daten-speicherung-zahlungsausfall-datenschutz-scoring" TargetMode="External"/><Relationship Id="rId8phu3l4br_o768j3qk3hp" Type="http://schemas.openxmlformats.org/officeDocument/2006/relationships/hyperlink" Target="https://ico.org.uk/about-the-ico/media-centre/news-and-blogs/2024/04/ico-statement-on-upper-tribunal-ruling/" TargetMode="External"/><Relationship Id="rIddxrann9vtajrk4yycvvaz" Type="http://schemas.openxmlformats.org/officeDocument/2006/relationships/hyperlink" Target="https://www.schufa.de/faq/privatpersonen/scoring/welche-daten-nutzt-die-schufa-zur-berechnung-von-scores.jsp" TargetMode="External"/><Relationship Id="rIdhyabkcoy6_5g9efmutzxc" Type="http://schemas.openxmlformats.org/officeDocument/2006/relationships/hyperlink" Target="https://www.schufa.de/datenschutz/" TargetMode="External"/><Relationship Id="rIdyd34fqzoav_ehioiklinc" Type="http://schemas.openxmlformats.org/officeDocument/2006/relationships/hyperlink" Target="https://www.schufa.de/faq/privatpersonen/scoring/fliessen-daten-zur-wohngegend-in-die-berechnung-der-schufa-scores-mit-ein.jsp" TargetMode="External"/><Relationship Id="rIdwjv8kmcmhvz6gxksaitgx" Type="http://schemas.openxmlformats.org/officeDocument/2006/relationships/hyperlink" Target="https://www.bonify.de/12-kriterien-schufa-score" TargetMode="External"/><Relationship Id="rIdrxtuogtzus3zum6m-vx-k" Type="http://schemas.openxmlformats.org/officeDocument/2006/relationships/hyperlink" Target="https://www.test.de/Gewusst-wie-Schufa-Daten-pruefen-4530316-0/" TargetMode="External"/><Relationship Id="rIdl1lolec5mg5cpk1wdg-z1" Type="http://schemas.openxmlformats.org/officeDocument/2006/relationships/hyperlink" Target="https://www.spiegel.de/netzwelt/netzpolitik/schufa-facebook-plaene-hpi-kuendigt-zusammenarbeit-auf-a-838001.html" TargetMode="External"/><Relationship Id="rIdsrsj7z4fi0z32xzvefg4f" Type="http://schemas.openxmlformats.org/officeDocument/2006/relationships/hyperlink" Target="https://www.experian.de/icd-infoblatt" TargetMode="External"/><Relationship Id="rIdcibkmmnmgroabmztvnxvz" Type="http://schemas.openxmlformats.org/officeDocument/2006/relationships/hyperlink" Target="https://www.verbraucherzentrale.de/wissen/digitale-welt/datenschutz/scoring-mit-kundendaten-so-verlangen-sie-auskunft-bei-schufa-co-12756" TargetMode="External"/><Relationship Id="rIdr_jf-1b3uj8ymg9vy6qs_" Type="http://schemas.openxmlformats.org/officeDocument/2006/relationships/hyperlink" Target="https://www.bundeskartellamt.de/SharedDocs/Meldung/DE/Pressemitteilungen/2024/19_06_2024_SU_Scoring.html" TargetMode="External"/><Relationship Id="rIddjttdtl7zznysz4xkyjow" Type="http://schemas.openxmlformats.org/officeDocument/2006/relationships/hyperlink" Target="https://noyb.eu/en/majority-credit-bureau-crif-database-illegal" TargetMode="External"/><Relationship Id="rIdr2szlqhqu_lyh5cisuxw9" Type="http://schemas.openxmlformats.org/officeDocument/2006/relationships/hyperlink" Target="https://noyb.eu/en/data-trading-between-credit-agency-and-address-trader-illegal" TargetMode="External"/><Relationship Id="rIdvw5y4ag6xoohi2d7wyv0l" Type="http://schemas.openxmlformats.org/officeDocument/2006/relationships/hyperlink" Target="https://noyb.eu/en/secret-scoring-join-crif-class-action-now" TargetMode="External"/><Relationship Id="rIdm9r4aemtbaarjny3dm5gi" Type="http://schemas.openxmlformats.org/officeDocument/2006/relationships/hyperlink" Target="https://netzpolitik.org/2026/daten-skandal-schufa-speichert-alte-datensaetze-ueber-millionen-von-menschen/" TargetMode="External"/><Relationship Id="rIdvmldqgeythk3-vpknivds" Type="http://schemas.openxmlformats.org/officeDocument/2006/relationships/hyperlink" Target="https://datenschutz.hessen.de/presse/hbdi-genehmigt-neue-verhaltensregeln-fuer-auskunfteien" TargetMode="External"/><Relationship Id="rId2gl6bxm1jv4ibzwmh8g0i" Type="http://schemas.openxmlformats.org/officeDocument/2006/relationships/hyperlink" Target="https://www.schufa.de/kontakt/einmeldung-identitaetsbetrug/" TargetMode="External"/><Relationship Id="rIdtlujcwfpxjdzue4tu9apu" Type="http://schemas.openxmlformats.org/officeDocument/2006/relationships/hyperlink" Target="https://www.verbraucherzentrale.de/wissen/digitale-welt/datenschutz/welche-folgen-identitaetsdiebstahl-im-internet-haben-kann-17750" TargetMode="External"/><Relationship Id="rIdtqukhhbpduxdy2jhtt2tr" Type="http://schemas.openxmlformats.org/officeDocument/2006/relationships/hyperlink" Target="https://seon.io/resources/what-can-an-email-address-reveal-about-your-users/" TargetMode="External"/><Relationship Id="rIdblwrwj7bn4jag5ow_rgtc" Type="http://schemas.openxmlformats.org/officeDocument/2006/relationships/hyperlink" Target="https://www.heise.de/en/news/Major-data-leak-Sensitive-credit-rating-data-freely-available-online-10082095.html" TargetMode="External"/><Relationship Id="rIdr-y4jczq7eo4_jodbu2pn" Type="http://schemas.openxmlformats.org/officeDocument/2006/relationships/hyperlink" Target="https://www.datenschutz-berlin.de/fileadmin/user_upload/pdf/pressemitteilungen/2018/BlnBDI-09_Deutsche_Post_Direkt_GmbH_Widerspruch.pdf" TargetMode="External"/><Relationship Id="rIdk4oyqyyovyietbobm6f5f" Type="http://schemas.openxmlformats.org/officeDocument/2006/relationships/hyperlink" Target="https://www.bundesgerichtshof.de/SharedDocs/Pressemitteilungen/DE/2025/2025233.html" TargetMode="External"/><Relationship Id="rIdjyqnqjh2xdxui6hxlcqi7" Type="http://schemas.openxmlformats.org/officeDocument/2006/relationships/hyperlink" Target="https://innovation.consumerreports.org/new-report-data-defense-evaluating-people-search-site-removal-services/" TargetMode="External"/><Relationship Id="rIdpca-a4-bijr0ehxkxcjtt" Type="http://schemas.openxmlformats.org/officeDocument/2006/relationships/hyperlink" Target="https://advocacy.consumerreports.org/press_release/consumer-reports-evaluation-of-people-search-site-removal-services-finds-that-they-are-largely-ineffective/" TargetMode="External"/><Relationship Id="rIdcms_ai0icpziyuoiulire" Type="http://schemas.openxmlformats.org/officeDocument/2006/relationships/hyperlink" Target="https://www.privacyguides.org/articles/2025/02/03/easyoptouts-review/" TargetMode="External"/><Relationship Id="rId15c_njjmiais3axo6rhnj" Type="http://schemas.openxmlformats.org/officeDocument/2006/relationships/hyperlink" Target="https://krebsonsecurity.com/2025/11/mozilla-says-its-finally-done-with-two-faced-onerep/" TargetMode="External"/><Relationship Id="rId4r8tzyx90lp-ykavrketi" Type="http://schemas.openxmlformats.org/officeDocument/2006/relationships/hyperlink" Target="https://support.mozilla.org/en-US/kb/monitor-plus-shutting-down" TargetMode="External"/><Relationship Id="rIdsnocghlkak5u9e8fgkq9m" Type="http://schemas.openxmlformats.org/officeDocument/2006/relationships/hyperlink" Target="https://www.globenewswire.com/news-release/2026/07/30/3336081/0/en/DeleteMe-Acquires-Permission-Slip-from-Consumer-Reports-to-Expand-Consumer-Privacy-and-Data-Rights-Protection.html" TargetMode="External"/><Relationship Id="rIdytvb7x31m2gkgqcgs446m" Type="http://schemas.openxmlformats.org/officeDocument/2006/relationships/hyperlink" Target="https://techcrunch.com/2026/03/19/consumer-focused-privacy-company-cloaked-raises-375m-as-it-expands-to-enterprise/" TargetMode="External"/><Relationship Id="rIdqpcc5ccb9gvijkkh7b6_3" Type="http://schemas.openxmlformats.org/officeDocument/2006/relationships/hyperlink" Target="https://www.calcalistech.com/ctechnews/article/r1hsfefzzg" TargetMode="External"/><Relationship Id="rId6idwfyuakndsvovssacky" Type="http://schemas.openxmlformats.org/officeDocument/2006/relationships/hyperlink" Target="https://en.wikipedia.org/wiki/Incogni" TargetMode="External"/><Relationship Id="rId1te0mssnapuer75zmzze6" Type="http://schemas.openxmlformats.org/officeDocument/2006/relationships/hyperlink" Target="https://datenputzer.de/blog/incogni-alternative-datenputzer" TargetMode="External"/><Relationship Id="rIdq8btoliqmsyskrarnyccy" Type="http://schemas.openxmlformats.org/officeDocument/2006/relationships/hyperlink" Target="https://www.datarequests.org/" TargetMode="External"/><Relationship Id="rIdtyuah1yglz-zuchf6n0ip" Type="http://schemas.openxmlformats.org/officeDocument/2006/relationships/hyperlink" Target="https://www.security.org/resources/data-removal-service-usage-study/" TargetMode="External"/><Relationship Id="rIdxz4wbg3pltzzv06sodwzz" Type="http://schemas.openxmlformats.org/officeDocument/2006/relationships/hyperlink" Target="https://netzpolitik.org/2024/databroker-files-die-grosse-datenhaendler-recherche-im-ueberblick/" TargetMode="External"/><Relationship Id="rId5twlx22wm5w3cid0sby4n" Type="http://schemas.openxmlformats.org/officeDocument/2006/relationships/hyperlink" Target="https://ipcuria.eu/case?reference=C-199%2F24" TargetMode="External"/><Relationship Id="rIdmwysalsmtr_tb5mk8kpvk" Type="http://schemas.openxmlformats.org/officeDocument/2006/relationships/hyperlink" Target="https://www.lindahl.se/en/latest-news/cases-and-transactions/the-cjeu-sets-limits-on-swedens-ability-to-restrict-the-application-of-the-gdpr/" TargetMode="External"/><Relationship Id="rIdrimgdx0x-2bvni8mp_ect" Type="http://schemas.openxmlformats.org/officeDocument/2006/relationships/hyperlink" Target="https://www.regeringen.se/remisser/2024/11/remiss-av-sou-202475-personuppgifter-och-mediegrundlagarna/" TargetMode="External"/><Relationship Id="rIdp_njpnu0hvrbfsbtkqcx6" Type="http://schemas.openxmlformats.org/officeDocument/2006/relationships/hyperlink" Target="https://www.dfri.se/sv/engagera-dig/hur-tar-jag-bort/" TargetMode="External"/><Relationship Id="rId46vexpcoqcvk8fubhvodz" Type="http://schemas.openxmlformats.org/officeDocument/2006/relationships/hyperlink" Target="https://www.dlapiper.com/en/insights/publications/2026/06/canada-tables-bill-c36-the-protecting-privacy-and-consumer-data-act" TargetMode="External"/><Relationship Id="rIdrv6eujpcmzv2ntm9oi1n7" Type="http://schemas.openxmlformats.org/officeDocument/2006/relationships/hyperlink" Target="https://watchdogsecurity.io/law25/right-to-de-indexation-and-cessation-of-dissemination" TargetMode="External"/><Relationship Id="rIdd6dmbsigvoct1ejl--qzj" Type="http://schemas.openxmlformats.org/officeDocument/2006/relationships/hyperlink" Target="https://help.optery.com/en/article/is-optery-available-in-canada-1waqlg8/" TargetMode="External"/><Relationship Id="rId8dpleqfrpfhm7-0zp19yf" Type="http://schemas.openxmlformats.org/officeDocument/2006/relationships/hyperlink" Target="https://changestoukcompanylaw.campaign.gov.uk/protecting-your-information/" TargetMode="External"/><Relationship Id="rIdelbaimrmqhpgvndmjkq4d" Type="http://schemas.openxmlformats.org/officeDocument/2006/relationships/hyperlink" Target="https://ico.org.uk/about-the-ico/what-we-do/legislation-we-cover/data-use-and-access-act-2025/the-data-use-and-access-act-2025-what-does-it-mean-for-organisations/" TargetMode="External"/><Relationship Id="rIdgcaybvrka60ahrbwv67xs" Type="http://schemas.openxmlformats.org/officeDocument/2006/relationships/hyperlink" Target="https://www.oaic.gov.au/privacy/your-privacy-rights/more-privacy-rights/statutory-tort-for-serious-invasions-of-privacy" TargetMode="External"/><Relationship Id="rIdas8gi4cdrtj4pbkoj97_-" Type="http://schemas.openxmlformats.org/officeDocument/2006/relationships/hyperlink" Target="https://www.ppc.go.jp/personalinfo/legal/optout/" TargetMode="External"/><Relationship Id="rId_izam6gvwklwedn3speec" Type="http://schemas.openxmlformats.org/officeDocument/2006/relationships/hyperlink" Target="https://prtimes.jp/main/html/rd/p/000000003.000126223.html" TargetMode="External"/><Relationship Id="rIdhfht_8caq3gwtezhbylmu" Type="http://schemas.openxmlformats.org/officeDocument/2006/relationships/hyperlink" Target="https://iclg.com/practice-areas/data-protection-laws-and-regulations/japan/" TargetMode="External"/><Relationship Id="rIdxloakhpzkhqnaodzt6poy" Type="http://schemas.openxmlformats.org/officeDocument/2006/relationships/hyperlink" Target="https://www.privacy.go.kr/front/contents/cntntsView.do?contsNo=260" TargetMode="External"/><Relationship Id="rIdp2htxk_p0k1rntjcpqxfh" Type="http://schemas.openxmlformats.org/officeDocument/2006/relationships/hyperlink" Target="https://www.edoeb.admin.ch/dam/de/sd-web/A0Vp79I-JdBG/2014%20-%20Empfehlung%20EDOEB%20zu%20Moneyhouse.pdf" TargetMode="External"/><Relationship Id="rIdyasmudqjbdk2klrggyi6t" Type="http://schemas.openxmlformats.org/officeDocument/2006/relationships/hyperlink" Target="https://blog.cloudflare.com/from-googlebot-to-gptbot-whos-crawling-your-site-in-2025/" TargetMode="External"/><Relationship Id="rIdvbm8ey2xgosqlivmr7hga" Type="http://schemas.openxmlformats.org/officeDocument/2006/relationships/hyperlink" Target="https://blog.cloudflare.com/introducing-pay-per-crawl/" TargetMode="External"/><Relationship Id="rIdflwbfvbla8l-tkw_1ozsw" Type="http://schemas.openxmlformats.org/officeDocument/2006/relationships/hyperlink" Target="https://www.fbm.com/publications/major-decision-affects-law-of-scraping-and-online-data-collection-meta-platforms-v-bright-data/" TargetMode="External"/><Relationship Id="rId4q_edkeo1rnsqlv8pr9sx" Type="http://schemas.openxmlformats.org/officeDocument/2006/relationships/hyperlink" Target="https://developer.chrome.com/blog/improvements-to-content-filtering-in-manifest-v3" TargetMode="External"/><Relationship Id="rIdt5zrvvlzzjl2mxydl9xlq" Type="http://schemas.openxmlformats.org/officeDocument/2006/relationships/hyperlink" Target="https://hacks.mozilla.org/2025/08/crlite-fast-private-and-comprehensive-certificate-revocation-checking-in-firefox/" TargetMode="External"/><Relationship Id="rIde6hh6ibsrfms7sndt7csk" Type="http://schemas.openxmlformats.org/officeDocument/2006/relationships/hyperlink" Target="https://developers.google.com/safe-browsing/reference" TargetMode="External"/><Relationship Id="rIdevgsdtirhdmdche9gibit" Type="http://schemas.openxmlformats.org/officeDocument/2006/relationships/hyperlink" Target="https://w3c.github.io/gpc/" TargetMode="External"/><Relationship Id="rIdt67zcw8m6rryc4it2li1o" Type="http://schemas.openxmlformats.org/officeDocument/2006/relationships/hyperlink" Target="https://github.com/cavi-au/Consent-O-Matic" TargetMode="External"/><Relationship Id="rIdhtc7y-lxuc7fk6fa2yu5q" Type="http://schemas.openxmlformats.org/officeDocument/2006/relationships/hyperlink" Target="https://github.com/duckduckgo/tracker-radar" TargetMode="External"/><Relationship Id="rIdbrbrvdfvprvwqcjrsb4nf" Type="http://schemas.openxmlformats.org/officeDocument/2006/relationships/hyperlink" Target="https://haveibeenpwned.com/Subscription" TargetMode="External"/><Relationship Id="rId9ndxagv5qql49mkvoxsdm" Type="http://schemas.openxmlformats.org/officeDocument/2006/relationships/hyperlink" Target="https://browser-use.com/posts/ai-browser-agent-benchmark" TargetMode="External"/><Relationship Id="rId-amnu2x_i_b8--t-8jloi" Type="http://schemas.openxmlformats.org/officeDocument/2006/relationships/hyperlink" Target="https://www.usenix.org/conference/usenixsecurity25/presentation/foerster" TargetMode="External"/><Relationship Id="rIdmuun3dvqevai62iwkc32s" Type="http://schemas.openxmlformats.org/officeDocument/2006/relationships/hyperlink" Target="https://www.usenix.org/conference/usenixsecurity18/presentation/harkous" TargetMode="External"/><Relationship Id="rIdlujsmib7nsyd7oieq1tpz" Type="http://schemas.openxmlformats.org/officeDocument/2006/relationships/hyperlink" Target="https://developers.tosdr.org/" TargetMode="External"/><Relationship Id="rId8zbgi9abr7ylcyi5vqbgu" Type="http://schemas.openxmlformats.org/officeDocument/2006/relationships/hyperlink" Target="https://privacy.openai.com/" TargetMode="External"/><Relationship Id="rIdqknrh_9tdg8lfso3zbwkq" Type="http://schemas.openxmlformats.org/officeDocument/2006/relationships/hyperlink" Target="https://www.edpb.europa.eu/system/files/2026-02/edpb_edps_jointopinion_202602_digitalomnibus_en.pdf" TargetMode="External"/><Relationship Id="rIdfvmmpsy1vwjllzpcmanp8" Type="http://schemas.openxmlformats.org/officeDocument/2006/relationships/hyperlink" Target="https://www.easynova.de/brief-wissen/briefporto/" TargetMode="External"/><Relationship Id="rIdfvy6l0g_8x72ws2ultqut" Type="http://schemas.openxmlformats.org/officeDocument/2006/relationships/hyperlink" Target="https://www.letterxpress.de/preise" TargetMode="External"/><Relationship Id="rIdnscdel3vuwr5hxsydmaqe" Type="http://schemas.openxmlformats.org/officeDocument/2006/relationships/hyperlink" Target="https://www.deutschepost.de/de/p/postident/geschaeftskunden/identifizierungsverfahren/verfahren-eid.html" TargetMode="External"/><Relationship Id="rId9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Scraper — The Right to Be Forgotten: Market Research &amp; Technical Blueprint</dc:title>
  <dc:creator>Scraper research</dc:creator>
  <dc:description>Germany/EU-first consumer data-rights platform: market research and technical blueprint</dc:description>
  <cp:lastModifiedBy>Un-named</cp:lastModifiedBy>
  <cp:revision>1</cp:revision>
  <dcterms:created xsi:type="dcterms:W3CDTF">2026-08-06T13:06:11.319Z</dcterms:created>
  <dcterms:modified xsi:type="dcterms:W3CDTF">2026-08-06T13:06:11.321Z</dcterms:modified>
</cp:coreProperties>
</file>

<file path=docProps/custom.xml><?xml version="1.0" encoding="utf-8"?>
<Properties xmlns="http://schemas.openxmlformats.org/officeDocument/2006/custom-properties" xmlns:vt="http://schemas.openxmlformats.org/officeDocument/2006/docPropsVTypes"/>
</file>