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9637" w:type="dxa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w="5782" w:type="dxa"/>
            <w:tcBorders>
              <w:top w:val="none"/>
              <w:bottom w:val="none"/>
              <w:left w:val="none"/>
              <w:right w:val="none"/>
            </w:tcBorders>
          </w:tcPr>
          <w:p>
            <w:pPr>
              <w:spacing w:before="0" w:after="20" w:lineRule="exact" w:line="220"/>
            </w:pPr>
            <w:r>
              <w:rPr>
                <w:rFonts w:ascii="Arial" w:hAnsi="Arial"/>
                <w:b/>
                <w:i w:val="0"/>
                <w:color w:val="51247A"/>
                <w:sz w:val="18"/>
              </w:rPr>
              <w:t>Centre for Natural Gas</w:t>
            </w:r>
          </w:p>
          <w:p>
            <w:pPr>
              <w:spacing w:before="0" w:after="0" w:lineRule="exact" w:line="220"/>
            </w:pPr>
            <w:r>
              <w:rPr>
                <w:rFonts w:ascii="Arial" w:hAnsi="Arial"/>
                <w:b/>
                <w:i w:val="0"/>
                <w:color w:val="51247A"/>
                <w:sz w:val="18"/>
              </w:rPr>
              <w:t>April 2026</w:t>
            </w:r>
          </w:p>
        </w:tc>
        <w:tc>
          <w:tcPr>
            <w:tcW w:w="3855" w:type="dxa"/>
            <w:tcBorders>
              <w:top w:val="none"/>
              <w:bottom w:val="none"/>
              <w:left w:val="none"/>
              <w:right w:val="none"/>
            </w:tcBorders>
          </w:tcPr>
          <w:p>
            <w:pPr>
              <w:spacing w:before="0" w:after="0" w:lineRule="exact" w:line="400"/>
              <w:jc w:val="right"/>
            </w:pPr>
            <w:r>
              <w:drawing>
                <wp:inline xmlns:a="http://schemas.openxmlformats.org/drawingml/2006/main" xmlns:pic="http://schemas.openxmlformats.org/drawingml/2006/picture">
                  <wp:extent cx="1280160" cy="335656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uq_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80160" cy="33565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0" w:after="0" w:lineRule="exact" w:line="320"/>
      </w:pPr>
    </w:p>
    <w:p>
      <w:pPr>
        <w:spacing w:before="0" w:after="40" w:lineRule="exact" w:line="560"/>
        <w:jc w:val="left"/>
      </w:pPr>
      <w:r>
        <w:rPr>
          <w:rFonts w:ascii="Arial" w:hAnsi="Arial"/>
          <w:b/>
          <w:i w:val="0"/>
          <w:color w:val="51247A"/>
          <w:sz w:val="44"/>
        </w:rPr>
        <w:t>Research Project: Cumulative</w:t>
      </w:r>
    </w:p>
    <w:p>
      <w:pPr>
        <w:spacing w:before="0" w:after="40" w:lineRule="exact" w:line="560"/>
        <w:jc w:val="left"/>
      </w:pPr>
      <w:r>
        <w:rPr>
          <w:rFonts w:ascii="Arial" w:hAnsi="Arial"/>
          <w:b/>
          <w:i w:val="0"/>
          <w:color w:val="51247A"/>
          <w:sz w:val="44"/>
        </w:rPr>
        <w:t>social and economic impacts of</w:t>
      </w:r>
    </w:p>
    <w:p>
      <w:pPr>
        <w:spacing w:before="0" w:after="40" w:lineRule="exact" w:line="560"/>
        <w:jc w:val="left"/>
      </w:pPr>
      <w:r>
        <w:rPr>
          <w:rFonts w:ascii="Arial" w:hAnsi="Arial"/>
          <w:b/>
          <w:i w:val="0"/>
          <w:color w:val="51247A"/>
          <w:sz w:val="44"/>
        </w:rPr>
        <w:t>CSG development in Chinchilla</w:t>
      </w:r>
    </w:p>
    <w:p>
      <w:pPr>
        <w:spacing w:before="0" w:after="0" w:lineRule="exact" w:line="200"/>
      </w:pPr>
    </w:p>
    <w:p>
      <w:pPr>
        <w:spacing w:before="0" w:after="0" w:lineRule="exact" w:line="280"/>
        <w:jc w:val="left"/>
      </w:pPr>
      <w:r>
        <w:rPr>
          <w:rFonts w:ascii="Arial" w:hAnsi="Arial"/>
          <w:b w:val="0"/>
          <w:i/>
          <w:color w:val="444444"/>
          <w:sz w:val="18"/>
        </w:rPr>
        <w:t>[Cover image missing — add cover.jpg to resources/images/towns/chinchilla/]</w:t>
      </w:r>
    </w:p>
    <w:sectPr w:rsidR="00FC693F" w:rsidRPr="0006063C" w:rsidSect="00034616"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