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11" t="0" r="25611"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pPr>
      <w:r>
        <w:rPr>
          <w:b/>
        </w:rPr>
        <w:t xml:space="preserve">Document Version: </w:t>
      </w:r>
      <w:r>
        <w:rPr>
          <w:b/>
        </w:rPr>
        <w:t>2.0</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01/01/2019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01/05/2019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Add table for subsystems</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pPr>
      <w:bookmarkStart w:id="13" w:name="_ktt3lgighckp"/>
      <w:bookmarkEnd w:id="13"/>
      <w:r>
        <w:rPr/>
        <w:t>Table of Contents</w:t>
      </w:r>
    </w:p>
    <w:sdt>
      <w:sdtPr>
        <w:docPartObj>
          <w:docPartGallery w:val="Table of Contents"/>
          <w:docPartUnique w:val="true"/>
        </w:docPartObj>
      </w:sdtPr>
      <w:sdtContent>
        <w:p>
          <w:pPr>
            <w:pStyle w:val="Normal"/>
            <w:spacing w:lineRule="auto" w:line="240" w:before="80" w:after="0"/>
            <w:ind w:left="0" w:right="0" w:hanging="0"/>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b w:val="false"/>
          <w:b w:val="false"/>
          <w:bCs w:val="false"/>
          <w:color w:val="000000"/>
        </w:rPr>
      </w:pPr>
      <w:r>
        <w:rPr>
          <w:b w:val="false"/>
          <w:bCs w:val="false"/>
          <w:color w:val="000000"/>
        </w:rPr>
        <w:t>The purpose of a safety plan is to outline the steps we will take in order to achieve functional safety. The safety plan will define the parts of the safety lifecycle impacted by new development, the roles and responsiblities of team members, the steps the company takes to promote safety culture, and the confirmation measures that will be used to determine that the plan makes the vehicle safer.</w:t>
      </w:r>
    </w:p>
    <w:p>
      <w:pPr>
        <w:pStyle w:val="Normal"/>
        <w:spacing w:before="0" w:after="0"/>
        <w:rPr>
          <w:color w:val="000000"/>
        </w:rPr>
      </w:pPr>
      <w:r>
        <w:rPr>
          <w:color w:val="000000"/>
        </w:rPr>
      </w:r>
    </w:p>
    <w:p>
      <w:pPr>
        <w:pStyle w:val="Heading2"/>
        <w:spacing w:before="0" w:after="0"/>
        <w:contextualSpacing/>
        <w:rPr/>
      </w:pPr>
      <w:bookmarkStart w:id="16" w:name="_sh22j99mm02k"/>
      <w:bookmarkEnd w:id="16"/>
      <w:r>
        <w:rPr/>
        <w:t>Scope of the Project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 xml:space="preserve"> </w:t>
      </w:r>
      <w:r>
        <w:rPr/>
        <w:t>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 xml:space="preserve">The lane assistance item warns the driver when unintentionally leaving the lane, and assists the driver is staying within the lane. </w:t>
      </w:r>
    </w:p>
    <w:p>
      <w:pPr>
        <w:pStyle w:val="Normal"/>
        <w:spacing w:before="0" w:after="0"/>
        <w:rPr>
          <w:b/>
          <w:b/>
          <w:color w:val="B7B7B7"/>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first function of the lane assistance item is lane departure warning. Lane departure warning warns the driver when unintentionally leaving the lane by providing haptic feedback by applying an oscillating torque to the steering wheel.</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second function of the lane assistance item is lane keeping assistance. When active, lane keeping assistance will automatically assist the driver in staying in their lane by applying a steering torque in order to stay in the vehicles current lane.</w:t>
      </w:r>
    </w:p>
    <w:p>
      <w:pPr>
        <w:pStyle w:val="Normal"/>
        <w:spacing w:before="0" w:after="0"/>
        <w:rPr>
          <w:b/>
          <w:b/>
          <w:color w:val="B7B7B7"/>
        </w:rPr>
      </w:pPr>
      <w:r>
        <w:rPr>
          <w:b/>
          <w:color w:val="B7B7B7"/>
        </w:rPr>
        <mc:AlternateContent>
          <mc:Choice Requires="wps">
            <w:drawing>
              <wp:anchor behindDoc="0" distT="0" distB="0" distL="0" distR="0" simplePos="0" locked="0" layoutInCell="1" allowOverlap="1" relativeHeight="4">
                <wp:simplePos x="0" y="0"/>
                <wp:positionH relativeFrom="column">
                  <wp:posOffset>57150</wp:posOffset>
                </wp:positionH>
                <wp:positionV relativeFrom="paragraph">
                  <wp:posOffset>15875</wp:posOffset>
                </wp:positionV>
                <wp:extent cx="5944870" cy="3654425"/>
                <wp:effectExtent l="0" t="0" r="0" b="0"/>
                <wp:wrapSquare wrapText="largest"/>
                <wp:docPr id="4" name="Frame1"/>
                <a:graphic xmlns:a="http://schemas.openxmlformats.org/drawingml/2006/main">
                  <a:graphicData uri="http://schemas.microsoft.com/office/word/2010/wordprocessingShape">
                    <wps:wsp>
                      <wps:cNvSpPr/>
                      <wps:spPr>
                        <a:xfrm>
                          <a:off x="0" y="0"/>
                          <a:ext cx="5944320" cy="365364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rPr>
                              <w:t>Figure 1.1: Lane assistance item boundary</w:t>
                            </w:r>
                          </w:p>
                        </w:txbxContent>
                      </wps:txbx>
                      <wps:bodyPr lIns="0" rIns="0" tIns="0" bIns="0">
                        <a:noAutofit/>
                      </wps:bodyPr>
                    </wps:wsp>
                  </a:graphicData>
                </a:graphic>
              </wp:anchor>
            </w:drawing>
          </mc:Choice>
          <mc:Fallback>
            <w:pict>
              <v:rect id="shape_0" ID="Frame1" stroked="f" style="position:absolute;margin-left:4.5pt;margin-top:1.25pt;width:468pt;height:287.65pt">
                <w10:wrap type="square"/>
                <v:fill o:detectmouseclick="t" on="false"/>
                <v:stroke color="#3465a4" joinstyle="round" endcap="flat"/>
                <v:textbox>
                  <w:txbxContent>
                    <w:p>
                      <w:pPr>
                        <w:pStyle w:val="Caption"/>
                        <w:suppressLineNumbers/>
                        <w:spacing w:before="120" w:after="120"/>
                        <w:rPr/>
                      </w:pPr>
                      <w:r>
                        <w:rPr/>
                        <w:drawing>
                          <wp:inline distT="0" distB="0" distL="0" distR="0">
                            <wp:extent cx="5943600" cy="33432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rPr>
                        <w:t>Figure 1.1: Lane assistance item boundary</w:t>
                      </w:r>
                    </w:p>
                  </w:txbxContent>
                </v:textbox>
              </v:rect>
            </w:pict>
          </mc:Fallback>
        </mc:AlternateConten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item boundary is drawn in the Figure 1.1.</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lane assistance item contains three subsystems: the camera subsystem, the electronic power steering subsystem, and the car display subsystem. The three subsystems are each involved in lane departure warning and lane keeping assistance.</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p>
      <w:pPr>
        <w:pStyle w:val="Normal"/>
        <w:spacing w:before="0" w:after="0"/>
        <w:rPr>
          <w:rFonts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tbl>
      <w:tblPr>
        <w:tblStyle w:val="Table2"/>
        <w:tblW w:w="927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8"/>
        <w:gridCol w:w="2404"/>
        <w:gridCol w:w="2667"/>
        <w:gridCol w:w="2820"/>
      </w:tblGrid>
      <w:tr>
        <w:trPr/>
        <w:tc>
          <w:tcPr>
            <w:tcW w:w="1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Subsystem Name</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Purpose</w:t>
            </w:r>
          </w:p>
        </w:tc>
        <w:tc>
          <w:tcPr>
            <w:tcW w:w="2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Components</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Interface</w:t>
            </w:r>
          </w:p>
        </w:tc>
      </w:tr>
      <w:tr>
        <w:trPr>
          <w:trHeight w:val="420" w:hRule="atLeast"/>
        </w:trPr>
        <w:tc>
          <w:tcPr>
            <w:tcW w:w="1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Camera subsystem</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responsible for detecting lane lines and determining when the vehicle leaves the lane by mistake</w:t>
            </w:r>
          </w:p>
        </w:tc>
        <w:tc>
          <w:tcPr>
            <w:tcW w:w="2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The camera subsystem contains a camera sensor and a camera sensor ECU.</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he camera subsystem sends requests to the electronic power steering subsystem and the car display subsystem.</w:t>
            </w:r>
          </w:p>
        </w:tc>
      </w:tr>
      <w:tr>
        <w:trPr>
          <w:trHeight w:val="420" w:hRule="atLeast"/>
        </w:trPr>
        <w:tc>
          <w:tcPr>
            <w:tcW w:w="1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0"/>
              <w:rPr/>
            </w:pPr>
            <w:r>
              <w:rPr>
                <w:rFonts w:eastAsia="Arial"/>
                <w:b w:val="false"/>
                <w:i w:val="false"/>
                <w:caps w:val="false"/>
                <w:smallCaps w:val="false"/>
                <w:strike w:val="false"/>
                <w:dstrike w:val="false"/>
                <w:color w:val="000000"/>
                <w:kern w:val="0"/>
                <w:sz w:val="22"/>
                <w:u w:val="none"/>
                <w:lang w:val="en" w:eastAsia="hi-IN"/>
              </w:rPr>
              <w:t>Electronic power steering subsystem</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Responsible for measuring the torque provided by the driver and then adding an appropriate amount of torque based on a lane assistance system torque request.</w:t>
            </w:r>
          </w:p>
        </w:tc>
        <w:tc>
          <w:tcPr>
            <w:tcW w:w="2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The electronic power steering subsystem contains a driver steering torque sensor, an electronic power steering ECU, and a motor providing torque to the steering wheel.</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The electronic power steering subsystem receives requests from the camera subsystem. The electronic power steering subsystem receives requests from and sends requests to the steering system.</w:t>
            </w:r>
          </w:p>
        </w:tc>
      </w:tr>
      <w:tr>
        <w:trPr>
          <w:trHeight w:val="420" w:hRule="atLeast"/>
        </w:trPr>
        <w:tc>
          <w:tcPr>
            <w:tcW w:w="1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Car display subsystem</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Responsible for displaying a warning light indicating the vehicle is departing its current lane when the camera subsystem requests it.</w:t>
            </w:r>
          </w:p>
        </w:tc>
        <w:tc>
          <w:tcPr>
            <w:tcW w:w="2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The car display subsystem contains a car display ECU and a car display.</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The car display subsystem receives requests from the camera subsystem.</w:t>
            </w:r>
          </w:p>
        </w:tc>
      </w:tr>
    </w:tbl>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contextualSpacing/>
        <w:rPr/>
      </w:pPr>
      <w:r>
        <w:rPr/>
      </w:r>
    </w:p>
    <w:p>
      <w:pPr>
        <w:pStyle w:val="Normal"/>
        <w:spacing w:before="0" w:after="0"/>
        <w:contextualSpacing/>
        <w:rPr/>
      </w:pPr>
      <w:r>
        <w:rPr/>
        <w:t>The purpose of this project is to achieve functional safety for the lane keeping item.</w:t>
      </w:r>
    </w:p>
    <w:p>
      <w:pPr>
        <w:pStyle w:val="Heading2"/>
        <w:spacing w:before="0" w:after="0"/>
        <w:contextualSpacing/>
        <w:rPr/>
      </w:pPr>
      <w:r>
        <w:rPr/>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r>
    </w:p>
    <w:tbl>
      <w:tblPr>
        <w:tblStyle w:val="Table2"/>
        <w:tblW w:w="927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7"/>
        <w:gridCol w:w="2192"/>
        <w:gridCol w:w="3331"/>
      </w:tblGrid>
      <w:tr>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Measures and Activities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Responsibility</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Timeline</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Project Manager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Auditor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Assesor</w:t>
            </w:r>
          </w:p>
        </w:tc>
        <w:tc>
          <w:tcPr>
            <w:tcW w:w="33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Our company’s number one priority is safety. All assessments and audits will be performed by an independent assessor and auditor. All documentation is tied to the person responsible for performing the task using up-to-date safety requirements software. Our company has well defined processes in place in order to assign qualified personnel to the project. Our company will be in close communication in order to detect problems as early as possible and achieve functional safety.</w:t>
      </w:r>
    </w:p>
    <w:p>
      <w:pPr>
        <w:pStyle w:val="Heading1"/>
        <w:spacing w:before="0" w:after="0"/>
        <w:contextualSpacing/>
        <w:rPr/>
      </w:pPr>
      <w:bookmarkStart w:id="23" w:name="_pqn9poe0nvtc"/>
      <w:bookmarkEnd w:id="23"/>
      <w:r>
        <w:rPr/>
        <w:t>Safety Lifecycle Tailoring</w:t>
      </w:r>
    </w:p>
    <w:p>
      <w:pPr>
        <w:pStyle w:val="Normal"/>
        <w:spacing w:before="0" w:after="0"/>
        <w:rPr>
          <w:rFonts w:ascii="Arial" w:hAnsi="Arial" w:eastAsia="Arial"/>
          <w:b/>
          <w:b/>
          <w:i w:val="false"/>
          <w:i w:val="false"/>
          <w:caps w:val="false"/>
          <w:smallCaps w:val="false"/>
          <w:strike w:val="false"/>
          <w:dstrike w:val="false"/>
          <w:color w:val="B7B7B7"/>
          <w:kern w:val="0"/>
          <w:sz w:val="22"/>
          <w:u w:val="none"/>
          <w:lang w:val="en" w:eastAsia="hi-IN"/>
        </w:rPr>
      </w:pPr>
      <w:r>
        <w:rPr>
          <w:rFonts w:eastAsia="Arial"/>
          <w:b/>
          <w:i w:val="false"/>
          <w:caps w:val="false"/>
          <w:smallCaps w:val="false"/>
          <w:strike w:val="false"/>
          <w:dstrike w:val="false"/>
          <w:color w:val="B7B7B7"/>
          <w:kern w:val="0"/>
          <w:sz w:val="22"/>
          <w:u w:val="none"/>
          <w:lang w:val="en" w:eastAsia="hi-IN"/>
        </w:rPr>
      </w:r>
    </w:p>
    <w:p>
      <w:pPr>
        <w:pStyle w:val="Normal"/>
        <w:spacing w:before="0" w:after="0"/>
        <w:rPr/>
      </w:pPr>
      <w:bookmarkStart w:id="24" w:name="__DdeLink__449_1515607949"/>
      <w:r>
        <w:rPr>
          <w:rFonts w:eastAsia="Arial"/>
          <w:b w:val="false"/>
          <w:i w:val="false"/>
          <w:caps w:val="false"/>
          <w:smallCaps w:val="false"/>
          <w:strike w:val="false"/>
          <w:dstrike w:val="false"/>
          <w:color w:val="000000"/>
          <w:kern w:val="0"/>
          <w:sz w:val="22"/>
          <w:u w:val="none"/>
          <w:lang w:val="en" w:eastAsia="hi-IN"/>
        </w:rPr>
        <w:t>Th</w:t>
      </w:r>
      <w:bookmarkEnd w:id="24"/>
      <w:r>
        <w:rPr>
          <w:rFonts w:eastAsia="Arial"/>
          <w:b w:val="false"/>
          <w:i w:val="false"/>
          <w:caps w:val="false"/>
          <w:smallCaps w:val="false"/>
          <w:strike w:val="false"/>
          <w:dstrike w:val="false"/>
          <w:color w:val="000000"/>
          <w:kern w:val="0"/>
          <w:sz w:val="22"/>
          <w:u w:val="none"/>
          <w:lang w:val="en" w:eastAsia="hi-IN"/>
        </w:rPr>
        <w:t>e safety plan will cover the concept phase, product development at the system level, and product development at the software level. Product development at the hardware level, production, and operation are outside the scope of this safety plan.</w:t>
      </w:r>
    </w:p>
    <w:p>
      <w:pPr>
        <w:pStyle w:val="Heading1"/>
        <w:spacing w:before="0" w:after="0"/>
        <w:contextualSpacing/>
        <w:rPr>
          <w:b/>
          <w:b/>
          <w:color w:val="B7B7B7"/>
        </w:rPr>
      </w:pPr>
      <w:r>
        <w:rPr>
          <w:b/>
          <w:color w:val="B7B7B7"/>
        </w:rPr>
      </w:r>
    </w:p>
    <w:p>
      <w:pPr>
        <w:pStyle w:val="Heading1"/>
        <w:spacing w:before="0" w:after="0"/>
        <w:contextualSpacing/>
        <w:rPr/>
      </w:pPr>
      <w:bookmarkStart w:id="25" w:name="_xlicd1ijavb7"/>
      <w:bookmarkEnd w:id="25"/>
      <w:r>
        <w:rPr/>
        <w:t>Roles</w:t>
      </w:r>
    </w:p>
    <w:p>
      <w:pPr>
        <w:pStyle w:val="Normal"/>
        <w:spacing w:before="0" w:after="0"/>
        <w:rPr>
          <w:b/>
          <w:b/>
          <w:color w:val="B7B7B7"/>
        </w:rPr>
      </w:pPr>
      <w:r>
        <w:rPr>
          <w:b/>
          <w:color w:val="B7B7B7"/>
        </w:rPr>
      </w:r>
    </w:p>
    <w:tbl>
      <w:tblPr>
        <w:tblStyle w:val="Table3"/>
        <w:tblW w:w="7245"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6" w:name="_swj0emygbhrm"/>
      <w:bookmarkEnd w:id="26"/>
      <w:r>
        <w:rPr/>
        <w:t>Development Interface Agreement</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puuropse of a development interface agreement is to clarify the responsibilities of the different parties involved in a functional safety project, to describe the work products that each company will provide, to help avoid disputes between companies, and to clarify who will be responsible for any safety issues in post-production.</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OEM will be responsible for ensuring that the subsystems perform their intended tasks as specified in the safety plan. The tier 1 supplier (us?) will be responsible for modifying the subsystems so that they achieve functional safety. An independent auditor and assesor will be responsible for determining whether the system meets functional safety. After accepting the assessment, the OEM will be responsible for all safety related issues in post-production.</w:t>
      </w:r>
    </w:p>
    <w:p>
      <w:pPr>
        <w:pStyle w:val="Normal"/>
        <w:spacing w:before="0" w:after="0"/>
        <w:rPr>
          <w:b/>
          <w:b/>
          <w:color w:val="B7B7B7"/>
        </w:rPr>
      </w:pPr>
      <w:r>
        <w:rPr>
          <w:b/>
          <w:color w:val="B7B7B7"/>
        </w:rPr>
      </w:r>
    </w:p>
    <w:p>
      <w:pPr>
        <w:pStyle w:val="Heading1"/>
        <w:spacing w:before="0" w:after="0"/>
        <w:contextualSpacing/>
        <w:rPr/>
      </w:pPr>
      <w:bookmarkStart w:id="27" w:name="_lllavvxrxrdy"/>
      <w:bookmarkEnd w:id="27"/>
      <w:r>
        <w:rPr/>
        <w:t>Confirmation Measures</w:t>
      </w:r>
    </w:p>
    <w:p>
      <w:pPr>
        <w:pStyle w:val="Normal"/>
        <w:spacing w:before="0" w:after="0"/>
        <w:rPr>
          <w:b/>
          <w:b/>
          <w:color w:val="B7B7B7"/>
        </w:rPr>
      </w:pPr>
      <w:r>
        <w:rPr>
          <w:b/>
          <w:color w:val="B7B7B7"/>
        </w:rPr>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purpose of confirmation measures are to ensure that a functional safety project conforms to ISO-26262 and that the project makes the vehicle safer</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confirmation review is an independent assessment of whether the project complies with ISO-26262.</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functional safety audit is a task performed to check whether the actual implementation of the project conforms to its associated safety plan.</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functional safety assessment is a task that confirms that the product achieves functional safety</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character" w:styleId="ListLabel59">
    <w:name w:val="ListLabel 59"/>
    <w:qFormat/>
    <w:rPr>
      <w:b/>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b/>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b/>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b/>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7</Pages>
  <Words>1050</Words>
  <Characters>5977</Characters>
  <CharactersWithSpaces>6899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2019-01-05T12:10:20Z</dcterms:modified>
  <cp:revision>4</cp:revision>
  <dc:subject/>
  <dc:title/>
</cp:coreProperties>
</file>