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227F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KORA DEVELOPMENT DIARY LOG Session Export Generated: 2026-02-24 08:33:27</w:t>
      </w:r>
    </w:p>
    <w:p w14:paraId="01F7511C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UTC</w:t>
      </w:r>
    </w:p>
    <w:p w14:paraId="07EF531A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0353BB35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============================================================</w:t>
      </w:r>
    </w:p>
    <w:p w14:paraId="3E41918C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7479865F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PHASE 1 – IDENTITY CONSOLIDATION</w:t>
      </w:r>
    </w:p>
    <w:p w14:paraId="7524E4A4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23646AA1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   Transitioned naming from Cora → Coherence → KOherence → KORAi →</w:t>
      </w:r>
    </w:p>
    <w:p w14:paraId="5E5B707D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 xml:space="preserve">    finalized as KORA.</w:t>
      </w:r>
    </w:p>
    <w:p w14:paraId="74F7489E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   Explicit rejection of derivative or corporate-sounding identity.</w:t>
      </w:r>
    </w:p>
    <w:p w14:paraId="4DA9D41A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   Decision: KORA is the definitive project name moving forward.</w:t>
      </w:r>
    </w:p>
    <w:p w14:paraId="073AC948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75488ED8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------------------------------------------------------------------------</w:t>
      </w:r>
    </w:p>
    <w:p w14:paraId="7B9CDD71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4BE82452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PHASE 2 – TERMUX ENVIRONMENT STABILIZATION</w:t>
      </w:r>
    </w:p>
    <w:p w14:paraId="23C649C3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09088DDE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   Updated Termux packages successfully.</w:t>
      </w:r>
    </w:p>
    <w:p w14:paraId="283730D4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   Resolved pip installation restriction specific to Termux.</w:t>
      </w:r>
    </w:p>
    <w:p w14:paraId="6858EAD0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   Confirmed Python dependencies: requests, python-dotenv.</w:t>
      </w:r>
    </w:p>
    <w:p w14:paraId="36351770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   Verified working directory: ~/kora.</w:t>
      </w:r>
    </w:p>
    <w:p w14:paraId="2DD0F06A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   Confirmed kora.py compiles without syntax errors.</w:t>
      </w:r>
    </w:p>
    <w:p w14:paraId="43A3EC59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   Removed outdated boot alias.</w:t>
      </w:r>
    </w:p>
    <w:p w14:paraId="02AEE402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   Reconfigured boot process to use Ollama (v0.17.0).</w:t>
      </w:r>
    </w:p>
    <w:p w14:paraId="0A6DD3C2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   Confirmed Ollama running on 127.0.0.1:11434.</w:t>
      </w:r>
    </w:p>
    <w:p w14:paraId="32616158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   Confirmed KORA launches successfully via boot command.</w:t>
      </w:r>
    </w:p>
    <w:p w14:paraId="5CE0295A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1E9F3BB9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Status: Infrastructure stable. Transitioned from setup phase to</w:t>
      </w:r>
    </w:p>
    <w:p w14:paraId="5DC2F827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architecture phase.</w:t>
      </w:r>
    </w:p>
    <w:p w14:paraId="1BB6E91B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53196ABA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------------------------------------------------------------------------</w:t>
      </w:r>
    </w:p>
    <w:p w14:paraId="11204B13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1EECC1CA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PHASE 3 – BASE MODEL STRATEGY DISCUSSION</w:t>
      </w:r>
    </w:p>
    <w:p w14:paraId="7BD32A76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6F10E707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Explored foundational model options: - API-based models (OpenAI, Gemini,</w:t>
      </w:r>
    </w:p>
    <w:p w14:paraId="767BE29D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Claude). - Open-weight models (LLaMA, Mistral, etc.).</w:t>
      </w:r>
    </w:p>
    <w:p w14:paraId="09B1909B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7C054F9D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Identified architectural implications: - Base model = cognitive</w:t>
      </w:r>
    </w:p>
    <w:p w14:paraId="72CC3AE9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substrate. - Prompt orchestration + memory + routing = behavioral</w:t>
      </w:r>
    </w:p>
    <w:p w14:paraId="1FFCE6AC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intelligence. - Release strategy directly impacts security and control.</w:t>
      </w:r>
    </w:p>
    <w:p w14:paraId="442A08DC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1BA2B87D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------------------------------------------------------------------------</w:t>
      </w:r>
    </w:p>
    <w:p w14:paraId="4C8C61B6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408D55D7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PHASE 4 – THREAT INTELLIGENCE FRAMEWORK</w:t>
      </w:r>
    </w:p>
    <w:p w14:paraId="0922E0F7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1A1D1EA0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Concept introduced: - Ingest adversarial AI intelligence defensively. -</w:t>
      </w:r>
    </w:p>
    <w:p w14:paraId="6A2CB11F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Use knowledge of exploit tactics to detect malicious prompt patterns.</w:t>
      </w:r>
    </w:p>
    <w:p w14:paraId="4F93D9AA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76121BB5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Core objective: Build KORA to recognize, classify, and defend against</w:t>
      </w:r>
    </w:p>
    <w:p w14:paraId="2FBDDD80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AI-driven attacks rather than emulate them.</w:t>
      </w:r>
    </w:p>
    <w:p w14:paraId="21E73CD0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3F14ABB7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------------------------------------------------------------------------</w:t>
      </w:r>
    </w:p>
    <w:p w14:paraId="170C4F25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4E44F2BE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PHASE 5 – POWER VS CONTROL TENSION</w:t>
      </w:r>
    </w:p>
    <w:p w14:paraId="4621349F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02EC8A30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Stated goals: - Build the most powerful AI possible. - Maintain a</w:t>
      </w:r>
    </w:p>
    <w:p w14:paraId="477DFF6C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defined ethical boundary. - Avoid silent guardrails in development</w:t>
      </w:r>
    </w:p>
    <w:p w14:paraId="47BC9D9D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scripts. - Retain strategic asymmetry if releasing model weights.</w:t>
      </w:r>
    </w:p>
    <w:p w14:paraId="29F7768A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158B5232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Key realization: Weights alone are not a security boundary. True product</w:t>
      </w:r>
    </w:p>
    <w:p w14:paraId="1CDCF546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defensibility lies in orchestration, architecture, and proprietary</w:t>
      </w:r>
    </w:p>
    <w:p w14:paraId="63BA3F3E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system logic.</w:t>
      </w:r>
    </w:p>
    <w:p w14:paraId="7B190BEE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0AEBA492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------------------------------------------------------------------------</w:t>
      </w:r>
    </w:p>
    <w:p w14:paraId="0D15394D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024404A9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PHASE 6 – FOUNDER AWARENESS</w:t>
      </w:r>
    </w:p>
    <w:p w14:paraId="06737807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16D0539A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Acknowledgment: - Concern about smarter adversaries. - Desire to prevent</w:t>
      </w:r>
    </w:p>
    <w:p w14:paraId="5124081E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exploitation if KORA scales.</w:t>
      </w:r>
    </w:p>
    <w:p w14:paraId="6E583C8F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4A182386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Strategic insight: Security through obscurity is insufficient. Long-term</w:t>
      </w:r>
    </w:p>
    <w:p w14:paraId="1B17A2F9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resilience requires structured defensive architecture.</w:t>
      </w:r>
    </w:p>
    <w:p w14:paraId="74D3F562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0279A305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------------------------------------------------------------------------</w:t>
      </w:r>
    </w:p>
    <w:p w14:paraId="0F6FB862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4C01389B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PHASE 7 – OPERATIONAL DISCIPLINE PROTOCOL</w:t>
      </w:r>
    </w:p>
    <w:p w14:paraId="65E57B35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2FB4857C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New rule established: Every 20 user messages → automatic structured</w:t>
      </w:r>
    </w:p>
    <w:p w14:paraId="3B71A8BC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recap including: - Strategic summary - Technical snapshot - Risk surface</w:t>
      </w:r>
    </w:p>
    <w:p w14:paraId="1263011A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update - Alignment check - Next execution targets</w:t>
      </w:r>
    </w:p>
    <w:p w14:paraId="7B2DFCE3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2E4B8461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Protocol confirmed to apply going forward in future sessions.</w:t>
      </w:r>
    </w:p>
    <w:p w14:paraId="22225714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1A736BF1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============================================================</w:t>
      </w:r>
    </w:p>
    <w:p w14:paraId="5900AF93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0A5C8EFF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CURRENT STATE SUMMARY</w:t>
      </w:r>
    </w:p>
    <w:p w14:paraId="1BE67207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72B14284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Infrastructure: Stable, local-first via Ollama. Identity: Locked to</w:t>
      </w:r>
    </w:p>
    <w:p w14:paraId="1551C934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KORA. Philosophy: Sovereign, powerful, defensible architecture. Next</w:t>
      </w:r>
    </w:p>
    <w:p w14:paraId="7DA07E1E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Major Decision: Define release model (API vs open weights vs hybrid).</w:t>
      </w:r>
    </w:p>
    <w:p w14:paraId="111347E0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Primary Risk Area: Future exploit surface if publicly released.</w:t>
      </w:r>
    </w:p>
    <w:p w14:paraId="2BB92355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788D4E3D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============================================================</w:t>
      </w:r>
    </w:p>
    <w:p w14:paraId="5FFF7C9C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p w14:paraId="675C4FA6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  <w:r w:rsidRPr="00913A8E">
        <w:rPr>
          <w:rFonts w:ascii="Courier New" w:hAnsi="Courier New" w:cs="Courier New"/>
        </w:rPr>
        <w:t>End of Export</w:t>
      </w:r>
    </w:p>
    <w:p w14:paraId="5B68917C" w14:textId="77777777" w:rsidR="0091728A" w:rsidRPr="00913A8E" w:rsidRDefault="0091728A" w:rsidP="00913A8E">
      <w:pPr>
        <w:pStyle w:val="PlainText"/>
        <w:rPr>
          <w:rFonts w:ascii="Courier New" w:hAnsi="Courier New" w:cs="Courier New"/>
        </w:rPr>
      </w:pPr>
    </w:p>
    <w:sectPr w:rsidR="00000000" w:rsidRPr="00913A8E" w:rsidSect="00913A8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8E"/>
    <w:rsid w:val="00847440"/>
    <w:rsid w:val="00913A8E"/>
    <w:rsid w:val="0091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623F13"/>
  <w15:chartTrackingRefBased/>
  <w15:docId w15:val="{79FD5BA6-D96A-1241-A319-26DF19840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13A8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13A8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 S</cp:lastModifiedBy>
  <cp:revision>2</cp:revision>
  <dcterms:created xsi:type="dcterms:W3CDTF">2026-02-24T14:37:00Z</dcterms:created>
  <dcterms:modified xsi:type="dcterms:W3CDTF">2026-02-24T14:37:00Z</dcterms:modified>
</cp:coreProperties>
</file>