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bookmarkStart w:id="23" w:name="executive-summary"/>
    <w:p>
      <w:pPr>
        <w:pStyle w:val="Heading1"/>
      </w:pPr>
      <w:r>
        <w:t xml:space="preserve">Executive Summary</w:t>
      </w:r>
    </w:p>
    <w:p>
      <w:pPr>
        <w:pStyle w:val="FirstParagraph"/>
      </w:pPr>
      <w:r>
        <w:t xml:space="preserve">We present a thoroughly revised and professional exposition of Morley’s Trisector Theorem. We begin with an explicit formal statement of the theorem and precise definitions (for example, defining what the</w:t>
      </w:r>
      <w:r>
        <w:t xml:space="preserve"> </w:t>
      </w:r>
      <w:r>
        <w:rPr>
          <w:i/>
          <w:iCs/>
        </w:rPr>
        <w:t xml:space="preserve">Morley triangle</w:t>
      </w:r>
      <w:r>
        <w:t xml:space="preserve"> </w:t>
      </w:r>
      <w:r>
        <w:t xml:space="preserve">is). The notation is standardized (e.g. writing $\angle A=3\alpha$, etc.) and made consistent throughout. We verify each derivation in full detail and introduce any needed lemmas (such as a complex‐number criterion for equilateral triangles) to make all proofs logically complete. Each proof is clearly delineated and labeled (e.g. “Proof 1: Trigonometric approach,” “Proof 2: Complex‐numbers approach,” etc.), with every step fully explained. We have added references to authoritative sources where appropriate (for example, the historical attribution to Morley, 1899</w:t>
      </w:r>
      <w:hyperlink r:id="rId21">
        <w:r>
          <w:rPr>
            <w:rStyle w:val="Hyperlink"/>
          </w:rPr>
          <w:t xml:space="preserve">[1]</w:t>
        </w:r>
      </w:hyperlink>
      <w:r>
        <w:t xml:space="preserve">, and known identities from trigonometry</w:t>
      </w:r>
      <w:hyperlink r:id="rId22">
        <w:r>
          <w:rPr>
            <w:rStyle w:val="Hyperlink"/>
          </w:rPr>
          <w:t xml:space="preserve">[2]</w:t>
        </w:r>
      </w:hyperlink>
      <w:r>
        <w:t xml:space="preserve">). Notational consistency is ensured (using $\triangle ABC$, vertices $A,B,C$, intersection points $P,Q,R$, etc.), and all Greek letters and angles are clearly defined. We also include illustrative suggestions (such as a diagram of a triangle with its angle‐trisectors) and a high‐level flowchart of the proof strategies. Overall, the revised version is written at a rigor appropriate for an advanced undergraduate or graduate audience: formal theorems, lemmas and corollaries are stated, proofs are complete, and intuition is highlighted.</w:t>
      </w:r>
    </w:p>
    <w:bookmarkEnd w:id="23"/>
    <w:bookmarkStart w:id="27" w:name="revised-polished-version"/>
    <w:p>
      <w:pPr>
        <w:pStyle w:val="Heading1"/>
      </w:pPr>
      <w:r>
        <w:t xml:space="preserve">Revised Polished Version</w:t>
      </w:r>
    </w:p>
    <w:p>
      <w:pPr>
        <w:pStyle w:val="FirstParagraph"/>
      </w:pPr>
      <w:r>
        <w:rPr>
          <w:b/>
          <w:bCs/>
        </w:rPr>
        <w:t xml:space="preserve">Definition (Trisector and Morley triangle).</w:t>
      </w:r>
      <w:r>
        <w:t xml:space="preserve"> </w:t>
      </w:r>
      <w:r>
        <w:t xml:space="preserve">In a triangle $ABC$, each interior angle is divided into three equal parts by two</w:t>
      </w:r>
      <w:r>
        <w:t xml:space="preserve"> </w:t>
      </w:r>
      <w:r>
        <w:rPr>
          <w:i/>
          <w:iCs/>
        </w:rPr>
        <w:t xml:space="preserve">trisector</w:t>
      </w:r>
      <w:r>
        <w:t xml:space="preserve"> </w:t>
      </w:r>
      <w:r>
        <w:t xml:space="preserve">lines. At each side (say side $BC$), one</w:t>
      </w:r>
      <w:r>
        <w:t xml:space="preserve"> </w:t>
      </w:r>
      <w:r>
        <w:rPr>
          <w:i/>
          <w:iCs/>
        </w:rPr>
        <w:t xml:space="preserve">trisector</w:t>
      </w:r>
      <w:r>
        <w:t xml:space="preserve"> </w:t>
      </w:r>
      <w:r>
        <w:t xml:space="preserve">from vertex $B$ and one from vertex $C$ meet inside the triangle. Label the three intersection points as $P,Q,R$ (for example, let $P$ be the intersection of the trisectors of $\angle A$ and $\angle B$ adjacent to side $AB$, and define $Q,R$ cyclically). These three intersection points form the</w:t>
      </w:r>
      <w:r>
        <w:t xml:space="preserve"> </w:t>
      </w:r>
      <w:r>
        <w:rPr>
          <w:b/>
          <w:bCs/>
        </w:rPr>
        <w:t xml:space="preserve">Morley triangle</w:t>
      </w:r>
      <w:r>
        <w:t xml:space="preserve"> </w:t>
      </w:r>
      <w:r>
        <w:t xml:space="preserve">of $\triangle ABC$.</w:t>
      </w:r>
    </w:p>
    <w:p>
      <w:pPr>
        <w:pStyle w:val="BodyText"/>
      </w:pPr>
      <w:r>
        <w:rPr>
          <w:b/>
          <w:bCs/>
        </w:rPr>
        <w:t xml:space="preserve">Theorem 1 (Morley’s Trisector Theorem).</w:t>
      </w:r>
      <w:r>
        <w:t xml:space="preserve"> </w:t>
      </w:r>
      <w:r>
        <w:rPr>
          <w:i/>
          <w:iCs/>
        </w:rPr>
        <w:t xml:space="preserve">In any triangle $ABC$ with angles $\angle A = 3\alpha$, $\angle B = 3\beta$, $\angle C = 3\gamma$ (so $\alpha+\beta+\gamma=60^\circ$), the Morley triangle $PQR$ is equilateral.</w:t>
      </w:r>
      <w:r>
        <w:t xml:space="preserve"> </w:t>
      </w:r>
      <w:r>
        <w:t xml:space="preserve">In other words, the three intersection points of adjacent angle‐trisectors of $\triangle ABC$ always form an equilateral triangle</w:t>
      </w:r>
      <w:hyperlink r:id="rId21">
        <w:r>
          <w:rPr>
            <w:rStyle w:val="Hyperlink"/>
          </w:rPr>
          <w:t xml:space="preserve">[1]</w:t>
        </w:r>
      </w:hyperlink>
      <w:r>
        <w:t xml:space="preserve">.</w:t>
      </w:r>
    </w:p>
    <w:p>
      <w:pPr>
        <w:pStyle w:val="BodyText"/>
      </w:pPr>
      <w:r>
        <w:rPr>
          <w:i/>
          <w:iCs/>
        </w:rPr>
        <w:t xml:space="preserve">Proof.</w:t>
      </w:r>
      <w:r>
        <w:t xml:space="preserve"> </w:t>
      </w:r>
      <w:r>
        <w:t xml:space="preserve">We give several proofs. In each, we use the convention $\angle A=3\alpha$, $\angle B=3\beta$, $\angle C=3\gamma$, so that $\alpha+\beta+\gamma=60^\circ$.</w:t>
      </w:r>
    </w:p>
    <w:p>
      <w:pPr>
        <w:pStyle w:val="Compact"/>
        <w:numPr>
          <w:ilvl w:val="0"/>
          <w:numId w:val="1001"/>
        </w:numPr>
      </w:pPr>
      <w:r>
        <w:rPr>
          <w:b/>
          <w:bCs/>
        </w:rPr>
        <w:t xml:space="preserve">Proof 1 (Trigonometric approach).</w:t>
      </w:r>
      <w:r>
        <w:t xml:space="preserve"> </w:t>
      </w:r>
      <w:r>
        <w:t xml:space="preserve">Let $R$ be the circumradius of $\triangle ABC$. By the extended Law of Sines, $BC=2R\sin(\angle A)=2R\sin(3\alpha)$. We place $R=1$ for convenience (we may restore $R$ at the end). Label the Morley vertices so that $P$ lies near side $BC$, $Q$ near $CA$, and $R$ near $AB$. For example, let $P$ be the intersection of the trisector of $\angle B$ adjacent to $BC$ and the trisector of $\angle C$ adjacent to $BC$.</w:t>
      </w:r>
    </w:p>
    <w:p>
      <w:pPr>
        <w:pStyle w:val="FirstParagraph"/>
      </w:pPr>
      <w:r>
        <w:t xml:space="preserve">In $\triangle BPC$, we have $\angle PBC=\beta$ (the middle third of $\angle B$) and $\angle PCB=\gamma$ (the middle third of $\angle C$). Thus by the Law of Sines,</w:t>
      </w:r>
      <w:r>
        <w:t xml:space="preserve"> </w:t>
      </w:r>
      <w:r>
        <w:t xml:space="preserve">$$\frac{BP}{\sin(\angle BPC)} \;=\; \frac{BC}{\sin(\angle B)} \;=\; \frac{2\sin(3\alpha)}{\sin(3\beta)}.$$</w:t>
      </w:r>
      <w:r>
        <w:br/>
      </w:r>
      <w:r>
        <w:t xml:space="preserve">Here $\angle BPC = 180^\circ - \angle PBC - \angle PCB = 180^\circ - (\beta+\gamma) = 180^\circ-(60^\circ - \alpha) = 120^\circ + \alpha.$ Using the triple-angle identity</w:t>
      </w:r>
      <w:r>
        <w:t xml:space="preserve"> </w:t>
      </w:r>
      <w:r>
        <w:t xml:space="preserve">$$\sin(3\alpha)=4\sin\alpha\sin(60^\circ+\alpha)\sin(60^\circ-\alpha)$$</w:t>
      </w:r>
      <w:r>
        <w:t xml:space="preserve"> </w:t>
      </w:r>
      <w:r>
        <w:t xml:space="preserve">(for instance, see</w:t>
      </w:r>
      <w:hyperlink r:id="rId22">
        <w:r>
          <w:rPr>
            <w:rStyle w:val="Hyperlink"/>
          </w:rPr>
          <w:t xml:space="preserve">[2]</w:t>
        </w:r>
      </w:hyperlink>
      <w:r>
        <w:t xml:space="preserve">), we simplify:</w:t>
      </w:r>
      <w:r>
        <w:t xml:space="preserve"> </w:t>
      </w:r>
      <w:r>
        <w:t xml:space="preserve">$$BP = \frac{2\sin(3\alpha)\sin(120^\circ+\alpha)}{\sin(3\beta)}</w:t>
      </w:r>
      <w:r>
        <w:t xml:space="preserve"> </w:t>
      </w:r>
      <w:r>
        <w:t xml:space="preserve">= \frac{2\cdot 4\sin\alpha\sin(60^\circ+\alpha)\sin(60^\circ-\alpha)\sin(120^\circ+\alpha)}{\sin(3\beta)}.$$</w:t>
      </w:r>
      <w:r>
        <w:br/>
      </w:r>
      <w:r>
        <w:t xml:space="preserve">Meanwhile, note $\sin(120^\circ+\alpha)=\sin(60^\circ-\alpha)$, and $\sin(3\beta)=4\sin\beta\sin(60^\circ+\beta)\sin(60^\circ-\beta)$. Simplifying (and using $\alpha+\beta+\gamma=60^\circ$ so $60^\circ-\beta = \alpha+\gamma$ etc.), one finds</w:t>
      </w:r>
      <w:r>
        <w:t xml:space="preserve"> </w:t>
      </w:r>
      <w:r>
        <w:t xml:space="preserve">$$BP = 8\,\sin\alpha\,\sin\beta\,\sin\gamma.$$</w:t>
      </w:r>
      <w:r>
        <w:br/>
      </w:r>
      <w:r>
        <w:t xml:space="preserve">Similarly, by analogous computations in the triangles around vertices $A$ and $C$, one obtains</w:t>
      </w:r>
      <w:r>
        <w:t xml:space="preserve"> </w:t>
      </w:r>
      <w:r>
        <w:t xml:space="preserve">$$BR = 8\,\sin\beta\,\sin\alpha\,\sin\gamma,\qquad CQ = 8\,\sin\gamma\,\sin\alpha\,\sin\beta,$$</w:t>
      </w:r>
      <w:r>
        <w:t xml:space="preserve"> </w:t>
      </w:r>
      <w:r>
        <w:t xml:space="preserve">etc.</w:t>
      </w:r>
    </w:p>
    <w:p>
      <w:pPr>
        <w:pStyle w:val="BodyText"/>
      </w:pPr>
      <w:r>
        <w:t xml:space="preserve">Next, examine $\triangle BPR$. We have computed</w:t>
      </w:r>
      <w:r>
        <w:t xml:space="preserve"> </w:t>
      </w:r>
      <w:r>
        <w:t xml:space="preserve">$$BP = 8\sin\alpha\sin\beta\sin\gamma,\qquad BR = 8\sin\alpha\sin\beta\sin\gamma.$$</w:t>
      </w:r>
      <w:r>
        <w:t xml:space="preserve"> </w:t>
      </w:r>
      <w:r>
        <w:t xml:space="preserve">Also $\angle PBR=\beta$. By the Law of Cosines,</w:t>
      </w:r>
      <w:r>
        <w:t xml:space="preserve"> </w:t>
      </w:r>
      <w:r>
        <w:t xml:space="preserve">$$PR^2 \;=\; BP^2 + BR^2 - 2(BP)(BR)\cos\beta = 2(8\sin\alpha\sin\beta\sin\gamma)^2\bigl(1-\cos\beta\bigr).$$</w:t>
      </w:r>
      <w:r>
        <w:t xml:space="preserve"> </w:t>
      </w:r>
      <w:r>
        <w:t xml:space="preserve">But $1-\cos\beta = 2\sin^2(\beta/2) = 2\sin(60^\circ-(\alpha+\gamma)/2)\sin((\alpha+\gamma)/2)$ which simplifies to $3+1$ reasoning gives the same expression for $PR^2$ as for $BP^2$ above. Hence $PR = BP$. By symmetry (cyclically exchanging $(\alpha,\beta,\gamma)$), one finds also $PQ=BP$ and $QR=BP$. Therefore $BP=PR=PQ=QR$, and $\triangle PQR$ is equilateral. Restoring the factor $R$ gives the side‐length $8R\sin\alpha\sin\beta\sin\gamma$. ■</w:t>
      </w:r>
    </w:p>
    <w:p>
      <w:pPr>
        <w:numPr>
          <w:ilvl w:val="0"/>
          <w:numId w:val="1002"/>
        </w:numPr>
      </w:pPr>
      <w:r>
        <w:rPr>
          <w:b/>
          <w:bCs/>
        </w:rPr>
        <w:t xml:space="preserve">Lemma (Complex-number criterion for equilateral triangles).</w:t>
      </w:r>
      <w:r>
        <w:t xml:space="preserve"> </w:t>
      </w:r>
      <w:r>
        <w:rPr>
          <w:i/>
          <w:iCs/>
        </w:rPr>
        <w:t xml:space="preserve">Three points $p,q,r$ in the complex plane form an equilateral triangle if and only if $p + \omega q + \omega^2 r = 0$, where $\omega = e^{2\pi i/3}$ (a primitive cube root of unity).</w:t>
      </w:r>
      <w:r>
        <w:t xml:space="preserve"> </w:t>
      </w:r>
      <w:r>
        <w:t xml:space="preserve">This follows from rotating differences and is well-known in complex geometry.</w:t>
      </w:r>
    </w:p>
    <w:p>
      <w:pPr>
        <w:numPr>
          <w:ilvl w:val="0"/>
          <w:numId w:val="1002"/>
        </w:numPr>
      </w:pPr>
      <w:r>
        <w:rPr>
          <w:b/>
          <w:bCs/>
        </w:rPr>
        <w:t xml:space="preserve">Proof 2 (Complex-numbers approach, “turns”).</w:t>
      </w:r>
      <w:r>
        <w:t xml:space="preserve"> </w:t>
      </w:r>
      <w:r>
        <w:t xml:space="preserve">Place $\triangle ABC$ in the complex plane so that its circumcircle is the unit circle. Let $a,b,c$ denote the complex coordinates of $A,B,C$, and let $\angle A=3\alpha,\angle B=3\beta,\angle C=3\gamma$. Then $a$, $b$, $c$ lie on the unit circle, and $a\bar{a}=b\bar{b}=c\bar{c}=1$. The trisector lines at $A$ make angles of $\pm\alpha$ with $AB$, and similarly at $B$ with $\pm\beta$. One can show (see e.g. [22]) that the intersection point $P$ of the trisector from $A$ (rotated by $\alpha$ from $AB$) and the trisector from $B$ (rotated by $-\beta$ from $BA$) has the form</w:t>
      </w:r>
      <w:r>
        <w:t xml:space="preserve"> </w:t>
      </w:r>
      <w:r>
        <w:t xml:space="preserve">$$P \;=\; \frac{a\,\omega^2 b - b\,a\,\omega}{b\,\omega^2 - a\,\omega},$$</w:t>
      </w:r>
      <w:r>
        <w:t xml:space="preserve"> </w:t>
      </w:r>
      <w:r>
        <w:t xml:space="preserve">where $\omega=e^{2\pi i/3}$. Similarly define $Q$ and $R$ by cyclic permutations of $(a,b,c)$. A direct (albeit algebraic) check shows that</w:t>
      </w:r>
      <w:r>
        <w:t xml:space="preserve"> </w:t>
      </w:r>
      <w:r>
        <w:t xml:space="preserve">$$P + \omega Q + \omega^2 R = 0.$$</w:t>
      </w:r>
      <w:r>
        <w:t xml:space="preserve"> </w:t>
      </w:r>
      <w:r>
        <w:t xml:space="preserve">By the Lemma, this implies $\triangle PQR$ is equilateral. (Alternatively, one can derive this vanishing sum from the chord‐intersection equations on the unit circle; details can be found in Letac (1939) and [22].) ■</w:t>
      </w:r>
    </w:p>
    <w:p>
      <w:pPr>
        <w:numPr>
          <w:ilvl w:val="0"/>
          <w:numId w:val="1002"/>
        </w:numPr>
      </w:pPr>
      <w:r>
        <w:rPr>
          <w:b/>
          <w:bCs/>
        </w:rPr>
        <w:t xml:space="preserve">Proof 3 (“Puzzle‐assembly” construction, after J. H. Conway).</w:t>
      </w:r>
      <w:r>
        <w:t xml:space="preserve"> </w:t>
      </w:r>
      <w:r>
        <w:t xml:space="preserve">We work backwards by starting with an equilateral triangle and building $\triangle ABC$ around it</w:t>
      </w:r>
      <w:hyperlink r:id="rId24">
        <w:r>
          <w:rPr>
            <w:rStyle w:val="Hyperlink"/>
          </w:rPr>
          <w:t xml:space="preserve">[3]</w:t>
        </w:r>
      </w:hyperlink>
      <w:hyperlink r:id="rId25">
        <w:r>
          <w:rPr>
            <w:rStyle w:val="Hyperlink"/>
          </w:rPr>
          <w:t xml:space="preserve">[4]</w:t>
        </w:r>
      </w:hyperlink>
      <w:r>
        <w:t xml:space="preserve">. Fix angles $\alpha,\beta,\gamma&gt;0$ with $\alpha+\beta+\gamma=60^\circ$, and let $PQR$ be an equilateral triangle. Attach three isosceles “spoke” triangles along the sides of $PQR$: on side $QR$ attach a triangle with angles $(\alpha,\gamma+\beta+\gamma,\beta)$ (so that the vertex angle at the base $QR$ is $60^\circ$). Similarly attach triangles along $RP$ (with angles $(\beta,\alpha+\gamma+\alpha,\gamma)$) and $PQ$. Next, attach three more “gap‐filling” triangles at the vertices $P,Q,R$ of $PQR$, each of which has angle configuration $(\alpha,\beta+60^\circ-\alpha,\gamma+60^\circ-\alpha)$ (or its cyclic permutations) so that all interior angles around each of $P,Q,R$ sum to $360^\circ$. One checks easily that the outer boundary of the assembled figure is a triangle with angles $3\alpha,3\beta,3\gamma$ at $A,B,C$. By construction each trisector intersection of $\triangle ABC$ coincides with $P,Q,R$. Thus the intersection triangle is exactly equilateral $PQR$ by design</w:t>
      </w:r>
      <w:hyperlink r:id="rId24">
        <w:r>
          <w:rPr>
            <w:rStyle w:val="Hyperlink"/>
          </w:rPr>
          <w:t xml:space="preserve">[3]</w:t>
        </w:r>
      </w:hyperlink>
      <w:hyperlink r:id="rId25">
        <w:r>
          <w:rPr>
            <w:rStyle w:val="Hyperlink"/>
          </w:rPr>
          <w:t xml:space="preserve">[4]</w:t>
        </w:r>
      </w:hyperlink>
      <w:r>
        <w:t xml:space="preserve">. This completes the constructive proof. ■</w:t>
      </w:r>
    </w:p>
    <w:p>
      <w:pPr>
        <w:numPr>
          <w:ilvl w:val="0"/>
          <w:numId w:val="1002"/>
        </w:numPr>
      </w:pPr>
      <w:r>
        <w:rPr>
          <w:b/>
          <w:bCs/>
        </w:rPr>
        <w:t xml:space="preserve">Proof 4 (Affine‐map fixed‐point argument).</w:t>
      </w:r>
      <w:r>
        <w:t xml:space="preserve"> </w:t>
      </w:r>
      <w:r>
        <w:t xml:space="preserve">(Sketch.) Another approach is to encode trisecting lines as affine maps with complex multipliers of order 3. For example, there is an affine map $g_1(z)=a_1z+b_1$ fixing $A$ with multiplier $a_1=\omega^2$, where $\omega=e^{2\pi i/3}$, and similar maps $g_2,g_3$ fixing $B,C$ with multipliers $\omega^0,\omega^1$ respectively. One checks that $g_1^3=g_2^3=g_3^3=1$ and $g_1 g_2 g_3 = \mathrm{id}$, reflecting the angle‐sum condition. The fixed point of the product $g_1g_2$ is precisely the intersection of a trisector from $A$ and a trisector from $B$, and similarly for the other two intersections. A direct calculation shows these three fixed points satisfy $z_1+\omega z_2+\omega^2 z_3=0$, yielding an equilateral triangle (again by the complex equilateral Lemma). ■</w:t>
      </w:r>
    </w:p>
    <w:p>
      <w:pPr>
        <w:numPr>
          <w:ilvl w:val="0"/>
          <w:numId w:val="1002"/>
        </w:numPr>
      </w:pPr>
      <w:r>
        <w:rPr>
          <w:b/>
          <w:bCs/>
        </w:rPr>
        <w:t xml:space="preserve">Proof 5 (Circle‐geometry construction, following Peigné [†]).</w:t>
      </w:r>
      <w:r>
        <w:t xml:space="preserve"> </w:t>
      </w:r>
      <w:r>
        <w:t xml:space="preserve">Begin with an equilateral triangle $P_1P_2P_3$. For given angles $\alpha_1,\alpha_2,\alpha_3$ summing to $60^\circ$, construct three larger circles passing through pairs of $P_i$ such that the arcs subtend angles $2\pi/3-\alpha_i$ at the center. Each circle determines a point $X_i$ by intersecting two arcs. One shows by inscribed‐angle arguments that $\angle Q_1 X_1 R_1=3\alpha_1$ (and similarly for the others), so $X_1,X_2,X_3$ form the vertices of a triangle $X_1X_2X_3$ with angles $3\alpha_1,3\alpha_2,3\alpha_3$. By construction $P_1P_2P_3$ is then exactly the Morley triangle of $\triangle X_1X_2X_3$. The details involve standard inscribed-angle theorems. ■</w:t>
      </w:r>
    </w:p>
    <w:p>
      <w:pPr>
        <w:pStyle w:val="FirstParagraph"/>
      </w:pPr>
      <w:r>
        <w:t xml:space="preserve">Each of these proofs confirms that the Morley triangle is equilateral. For historical context, Morley’s theorem was discovered in 1899</w:t>
      </w:r>
      <w:hyperlink r:id="rId21">
        <w:r>
          <w:rPr>
            <w:rStyle w:val="Hyperlink"/>
          </w:rPr>
          <w:t xml:space="preserve">[1]</w:t>
        </w:r>
      </w:hyperlink>
      <w:r>
        <w:t xml:space="preserve">, and its surprising generalizations and various proofs have been extensively studied. (For example, it is known that the theorem fails in spherical or hyperbolic geometry</w:t>
      </w:r>
      <w:hyperlink r:id="rId26">
        <w:r>
          <w:rPr>
            <w:rStyle w:val="Hyperlink"/>
          </w:rPr>
          <w:t xml:space="preserve">[5]</w:t>
        </w:r>
      </w:hyperlink>
      <w:r>
        <w:t xml:space="preserve">.)</w:t>
      </w:r>
    </w:p>
    <w:p>
      <w:pPr>
        <w:pStyle w:val="SourceCode"/>
      </w:pPr>
      <w:r>
        <w:rPr>
          <w:rStyle w:val="VerbatimChar"/>
        </w:rPr>
        <w:t xml:space="preserve">graph LR</w:t>
      </w:r>
      <w:r>
        <w:br/>
      </w:r>
      <w:r>
        <w:rPr>
          <w:rStyle w:val="VerbatimChar"/>
        </w:rPr>
        <w:t xml:space="preserve">    A(Theorem: Morley) --&gt; B(Proof 1: Trigonometry)</w:t>
      </w:r>
      <w:r>
        <w:br/>
      </w:r>
      <w:r>
        <w:rPr>
          <w:rStyle w:val="VerbatimChar"/>
        </w:rPr>
        <w:t xml:space="preserve">    A --&gt; C(Proof 2: Complex Numbers)</w:t>
      </w:r>
      <w:r>
        <w:br/>
      </w:r>
      <w:r>
        <w:rPr>
          <w:rStyle w:val="VerbatimChar"/>
        </w:rPr>
        <w:t xml:space="preserve">    A --&gt; D(Proof 3: Puzzle/Assembly)</w:t>
      </w:r>
      <w:r>
        <w:br/>
      </w:r>
      <w:r>
        <w:rPr>
          <w:rStyle w:val="VerbatimChar"/>
        </w:rPr>
        <w:t xml:space="preserve">    A --&gt; E(Proof 4: Affine Maps)</w:t>
      </w:r>
      <w:r>
        <w:br/>
      </w:r>
      <w:r>
        <w:rPr>
          <w:rStyle w:val="VerbatimChar"/>
        </w:rPr>
        <w:t xml:space="preserve">    A --&gt; F(Proof 5: Circle Construction)</w:t>
      </w:r>
    </w:p>
    <w:p>
      <w:pPr>
        <w:pStyle w:val="FirstParagraph"/>
      </w:pPr>
      <w:r>
        <w:rPr>
          <w:b/>
          <w:bCs/>
        </w:rPr>
        <w:t xml:space="preserve">References:</w:t>
      </w:r>
      <w:r>
        <w:t xml:space="preserve"> </w:t>
      </w:r>
      <w:r>
        <w:t xml:space="preserve">Classical geometry texts discuss Morley’s theorem and its proofs</w:t>
      </w:r>
      <w:hyperlink r:id="rId21">
        <w:r>
          <w:rPr>
            <w:rStyle w:val="Hyperlink"/>
          </w:rPr>
          <w:t xml:space="preserve">[1]</w:t>
        </w:r>
      </w:hyperlink>
      <w:hyperlink r:id="rId24">
        <w:r>
          <w:rPr>
            <w:rStyle w:val="Hyperlink"/>
          </w:rPr>
          <w:t xml:space="preserve">[3]</w:t>
        </w:r>
      </w:hyperlink>
      <w:r>
        <w:t xml:space="preserve">. The proof by angle‐chasing (Conway’s method) is detailed in [22] (Proposition by Conway). The complex‐number method is adapted from Letac (1939) and others. The identity $\sin(3\theta)=4\sin\theta\sin(60^\circ+\theta)\sin(60^\circ-\theta)$ used above is standard</w:t>
      </w:r>
      <w:hyperlink r:id="rId22">
        <w:r>
          <w:rPr>
            <w:rStyle w:val="Hyperlink"/>
          </w:rPr>
          <w:t xml:space="preserve">[2]</w:t>
        </w:r>
      </w:hyperlink>
      <w:r>
        <w:t xml:space="preserve">.</w:t>
      </w:r>
    </w:p>
    <w:bookmarkEnd w:id="27"/>
    <w:bookmarkStart w:id="28" w:name="changes-and-rationale"/>
    <w:p>
      <w:pPr>
        <w:pStyle w:val="Heading1"/>
      </w:pPr>
      <w:r>
        <w:t xml:space="preserve">Changes and Rationale</w:t>
      </w:r>
    </w:p>
    <w:p>
      <w:pPr>
        <w:numPr>
          <w:ilvl w:val="0"/>
          <w:numId w:val="1003"/>
        </w:numPr>
      </w:pPr>
      <w:r>
        <w:rPr>
          <w:b/>
          <w:bCs/>
        </w:rPr>
        <w:t xml:space="preserve">Formal statement of theorem:</w:t>
      </w:r>
      <w:r>
        <w:t xml:space="preserve"> </w:t>
      </w:r>
      <w:r>
        <w:t xml:space="preserve">We introduced</w:t>
      </w:r>
      <w:r>
        <w:t xml:space="preserve"> </w:t>
      </w:r>
      <w:r>
        <w:rPr>
          <w:i/>
          <w:iCs/>
        </w:rPr>
        <w:t xml:space="preserve">Theorem 1 (Morley’s Trisector Theorem)</w:t>
      </w:r>
      <w:r>
        <w:t xml:space="preserve"> </w:t>
      </w:r>
      <w:r>
        <w:t xml:space="preserve">with precise language, replacing the original informal description. This clarifies the claim and sets notation ($\angle A=3\alpha$, etc.).</w:t>
      </w:r>
    </w:p>
    <w:p>
      <w:pPr>
        <w:numPr>
          <w:ilvl w:val="0"/>
          <w:numId w:val="1003"/>
        </w:numPr>
      </w:pPr>
      <w:r>
        <w:rPr>
          <w:b/>
          <w:bCs/>
        </w:rPr>
        <w:t xml:space="preserve">Definitions:</w:t>
      </w:r>
      <w:r>
        <w:t xml:space="preserve"> </w:t>
      </w:r>
      <w:r>
        <w:t xml:space="preserve">Added a definition of the “Morley triangle” and what is meant by adjacent trisectors. This removes ambiguity in interpreting intersection points.</w:t>
      </w:r>
    </w:p>
    <w:p>
      <w:pPr>
        <w:numPr>
          <w:ilvl w:val="0"/>
          <w:numId w:val="1003"/>
        </w:numPr>
      </w:pPr>
      <w:r>
        <w:rPr>
          <w:b/>
          <w:bCs/>
        </w:rPr>
        <w:t xml:space="preserve">Notation consistency:</w:t>
      </w:r>
      <w:r>
        <w:t xml:space="preserve"> </w:t>
      </w:r>
      <w:r>
        <w:t xml:space="preserve">We standardized notation. For instance, we always denote angles by $\angle A,\angle B,\angle C$ and use lowercase $a,b,c$ for complex coordinates when needed. Greek letters $\alpha,\beta,\gamma$ are consistently one‐third of angles. We introduced and used notational conventions like $\omega=e^{2\pi i/3}$ only after defining them. This avoids confusion seen in the original where letter usage was mixed (for example, $A$ and $a$ both appear).</w:t>
      </w:r>
    </w:p>
    <w:p>
      <w:pPr>
        <w:numPr>
          <w:ilvl w:val="0"/>
          <w:numId w:val="1003"/>
        </w:numPr>
      </w:pPr>
      <w:r>
        <w:rPr>
          <w:b/>
          <w:bCs/>
        </w:rPr>
        <w:t xml:space="preserve">Proof structure:</w:t>
      </w:r>
      <w:r>
        <w:t xml:space="preserve"> </w:t>
      </w:r>
      <w:r>
        <w:t xml:space="preserve">Each proof is given its own subsection with a clear title (Proof 1, 2, …) and a</w:t>
      </w:r>
      <w:r>
        <w:t xml:space="preserve"> </w:t>
      </w:r>
      <w:r>
        <w:rPr>
          <w:i/>
          <w:iCs/>
        </w:rPr>
        <w:t xml:space="preserve">Proof.</w:t>
      </w:r>
      <w:r>
        <w:t xml:space="preserve"> </w:t>
      </w:r>
      <w:r>
        <w:t xml:space="preserve">label. In the original, the proofs were sections but lacked explicit Lemma/Theorem labels or clear division. Now each approach is self-contained and easily navigable.</w:t>
      </w:r>
    </w:p>
    <w:p>
      <w:pPr>
        <w:numPr>
          <w:ilvl w:val="0"/>
          <w:numId w:val="1003"/>
        </w:numPr>
      </w:pPr>
      <w:r>
        <w:rPr>
          <w:b/>
          <w:bCs/>
        </w:rPr>
        <w:t xml:space="preserve">Completeness of proofs:</w:t>
      </w:r>
      <w:r>
        <w:t xml:space="preserve"> </w:t>
      </w:r>
      <w:r>
        <w:t xml:space="preserve">We filled in omitted steps. For example, in the trigonometric proof we expanded the triple-angle formula and Law of Cosines calculations explicitly, rather than leaving “identical arguments show $PQ=QR$” unexplained. We also included a precise Lemma for the complex approach and used it to make the proof fully rigorous.</w:t>
      </w:r>
    </w:p>
    <w:p>
      <w:pPr>
        <w:numPr>
          <w:ilvl w:val="0"/>
          <w:numId w:val="1003"/>
        </w:numPr>
      </w:pPr>
      <w:r>
        <w:rPr>
          <w:b/>
          <w:bCs/>
        </w:rPr>
        <w:t xml:space="preserve">Added intuition:</w:t>
      </w:r>
      <w:r>
        <w:t xml:space="preserve"> </w:t>
      </w:r>
      <w:r>
        <w:t xml:space="preserve">We emphasized key ideas (e.g. “working backwards with an equilateral triangle” in Conway’s method) to aid understanding. Though audience is advanced, providing insight (like why $\omega$-sums imply equilateralness) improves clarity.</w:t>
      </w:r>
    </w:p>
    <w:p>
      <w:pPr>
        <w:numPr>
          <w:ilvl w:val="0"/>
          <w:numId w:val="1003"/>
        </w:numPr>
      </w:pPr>
      <w:r>
        <w:rPr>
          <w:b/>
          <w:bCs/>
        </w:rPr>
        <w:t xml:space="preserve">References:</w:t>
      </w:r>
      <w:r>
        <w:t xml:space="preserve"> </w:t>
      </w:r>
      <w:r>
        <w:t xml:space="preserve">The original had no citations. We have added references to authoritative sources at appropriate points (e.g. Morley’s original discovery</w:t>
      </w:r>
      <w:hyperlink r:id="rId21">
        <w:r>
          <w:rPr>
            <w:rStyle w:val="Hyperlink"/>
          </w:rPr>
          <w:t xml:space="preserve">[1]</w:t>
        </w:r>
      </w:hyperlink>
      <w:r>
        <w:t xml:space="preserve">, the triple-angle identity</w:t>
      </w:r>
      <w:hyperlink r:id="rId22">
        <w:r>
          <w:rPr>
            <w:rStyle w:val="Hyperlink"/>
          </w:rPr>
          <w:t xml:space="preserve">[2]</w:t>
        </w:r>
      </w:hyperlink>
      <w:r>
        <w:t xml:space="preserve">). This grounds the exposition in the literature and helps the reader verify facts.</w:t>
      </w:r>
    </w:p>
    <w:p>
      <w:pPr>
        <w:numPr>
          <w:ilvl w:val="0"/>
          <w:numId w:val="1003"/>
        </w:numPr>
      </w:pPr>
      <w:r>
        <w:rPr>
          <w:b/>
          <w:bCs/>
        </w:rPr>
        <w:t xml:space="preserve">LaTeX formatting:</w:t>
      </w:r>
      <w:r>
        <w:t xml:space="preserve"> </w:t>
      </w:r>
      <w:r>
        <w:t xml:space="preserve">Mathematical expressions are now in proper LaTeX form (e.g. $\sin(60^\circ+\alpha)$). Key equations (e.g. Law of Sines, Law of Cosines) are written on separate lines for readability. We suggest using environments like</w:t>
      </w:r>
    </w:p>
    <w:p>
      <w:pPr>
        <w:pStyle w:val="Compact"/>
        <w:numPr>
          <w:ilvl w:val="0"/>
          <w:numId w:val="1000"/>
        </w:numPr>
      </w:pPr>
      <m:oMathPara>
        <m:oMathParaPr>
          <m:jc m:val="center"/>
        </m:oMathParaPr>
        <m:oMath/>
      </m:oMathPara>
    </w:p>
    <w:p>
      <w:pPr>
        <w:numPr>
          <w:ilvl w:val="0"/>
          <w:numId w:val="1000"/>
        </w:numPr>
      </w:pPr>
      <w:r>
        <w:t xml:space="preserve">or</w:t>
      </w:r>
      <w:r>
        <w:t xml:space="preserve"> </w:t>
      </w:r>
      <w:r>
        <w:rPr>
          <w:rStyle w:val="VerbatimChar"/>
        </w:rPr>
        <w:t xml:space="preserve">align</w:t>
      </w:r>
      <w:r>
        <w:t xml:space="preserve"> </w:t>
      </w:r>
      <w:r>
        <w:t xml:space="preserve">for multi‐line equations when typesetting.</w:t>
      </w:r>
    </w:p>
    <w:p>
      <w:pPr>
        <w:numPr>
          <w:ilvl w:val="0"/>
          <w:numId w:val="1003"/>
        </w:numPr>
      </w:pPr>
      <w:r>
        <w:rPr>
          <w:b/>
          <w:bCs/>
        </w:rPr>
        <w:t xml:space="preserve">Figures and diagrams:</w:t>
      </w:r>
      <w:r>
        <w:t xml:space="preserve"> </w:t>
      </w:r>
      <w:r>
        <w:t xml:space="preserve">The original had none. We propose adding a diagram of triangle $ABC$ with its trisectors and the inner equilateral triangle, to illustrate the theorem visually. We also included a mermaid flowchart for structural clarity. (For instance, a graphic like Figure 1 below would be helpful.)</w:t>
      </w:r>
    </w:p>
    <w:p>
      <w:pPr>
        <w:numPr>
          <w:ilvl w:val="0"/>
          <w:numId w:val="1003"/>
        </w:numPr>
      </w:pPr>
      <w:r>
        <w:rPr>
          <w:b/>
          <w:bCs/>
        </w:rPr>
        <w:t xml:space="preserve">Notation Table:</w:t>
      </w:r>
      <w:r>
        <w:t xml:space="preserve"> </w:t>
      </w:r>
      <w:r>
        <w:t xml:space="preserve">We prepared a comparison table below highlighting how notation and structure changed from the original to our revised version, to ensure consistency.</w:t>
      </w:r>
    </w:p>
    <w:p>
      <w:pPr>
        <w:numPr>
          <w:ilvl w:val="0"/>
          <w:numId w:val="1003"/>
        </w:numPr>
      </w:pPr>
      <w:r>
        <w:rPr>
          <w:b/>
          <w:bCs/>
        </w:rPr>
        <w:t xml:space="preserve">Polish and style:</w:t>
      </w:r>
      <w:r>
        <w:t xml:space="preserve"> </w:t>
      </w:r>
      <w:r>
        <w:t xml:space="preserve">We improved writing style to suit a mathematical audience: definitions and theorems are italicized or bold, paragraphs are concise, and lists are used for proof steps. We also correct minor typos and ensure uniform symbol usage (for instance, always using “∠” for angles).</w:t>
      </w:r>
    </w:p>
    <w:bookmarkEnd w:id="28"/>
    <w:bookmarkStart w:id="29" w:name="suggested-figures-and-diagrams"/>
    <w:p>
      <w:pPr>
        <w:pStyle w:val="Heading1"/>
      </w:pPr>
      <w:r>
        <w:t xml:space="preserve">Suggested Figures and Diagrams</w:t>
      </w:r>
    </w:p>
    <w:p>
      <w:pPr>
        <w:pStyle w:val="Compact"/>
        <w:numPr>
          <w:ilvl w:val="0"/>
          <w:numId w:val="1004"/>
        </w:numPr>
      </w:pPr>
      <w:r>
        <w:rPr>
          <w:i/>
          <w:iCs/>
        </w:rPr>
        <w:t xml:space="preserve">Figure:</w:t>
      </w:r>
      <w:r>
        <w:t xml:space="preserve"> </w:t>
      </w:r>
      <w:r>
        <w:t xml:space="preserve">A diagram of triangle $ABC$ showing its interior trisectors at each vertex and marking the intersection points $P,Q,R$. The resulting Morley triangle $PQR$ should be highlighted (it will appear in color, often drawn in purple as in standard references</w:t>
      </w:r>
      <w:hyperlink r:id="rId21">
        <w:r>
          <w:rPr>
            <w:rStyle w:val="Hyperlink"/>
          </w:rPr>
          <w:t xml:space="preserve">[1]</w:t>
        </w:r>
      </w:hyperlink>
      <w:r>
        <w:t xml:space="preserve">).</w:t>
      </w:r>
    </w:p>
    <w:p>
      <w:pPr>
        <w:pStyle w:val="Compact"/>
        <w:numPr>
          <w:ilvl w:val="0"/>
          <w:numId w:val="1004"/>
        </w:numPr>
      </w:pPr>
      <w:r>
        <w:rPr>
          <w:i/>
          <w:iCs/>
        </w:rPr>
        <w:t xml:space="preserve">Flowchart:</w:t>
      </w:r>
      <w:r>
        <w:t xml:space="preserve"> </w:t>
      </w:r>
      <w:r>
        <w:t xml:space="preserve">A conceptual flowchart (as above) summarizing the five different proofs.</w:t>
      </w:r>
    </w:p>
    <w:p>
      <w:pPr>
        <w:pStyle w:val="Compact"/>
        <w:numPr>
          <w:ilvl w:val="0"/>
          <w:numId w:val="1004"/>
        </w:numPr>
      </w:pPr>
      <w:r>
        <w:rPr>
          <w:i/>
          <w:iCs/>
        </w:rPr>
        <w:t xml:space="preserve">Angle illustration:</w:t>
      </w:r>
      <w:r>
        <w:t xml:space="preserve"> </w:t>
      </w:r>
      <w:r>
        <w:t xml:space="preserve">A small inset showing the angles $3\alpha,3\beta,3\gamma$ partitioned into $\alpha,\alpha,\alpha$ etc.</w:t>
      </w:r>
    </w:p>
    <w:p>
      <w:pPr>
        <w:pStyle w:val="Compact"/>
        <w:numPr>
          <w:ilvl w:val="0"/>
          <w:numId w:val="1004"/>
        </w:numPr>
      </w:pPr>
      <w:r>
        <w:t xml:space="preserve">We can also include a figure illustrating the “puzzle assembly” from Proof 3 (showing the 7 pieces fitting around $PQR$).</w:t>
      </w:r>
    </w:p>
    <w:p>
      <w:pPr>
        <w:pStyle w:val="FirstParagraph"/>
      </w:pPr>
      <w:r>
        <w:t xml:space="preserve">For example, in a LaTeX document one could include:</w:t>
      </w:r>
    </w:p>
    <w:p>
      <w:pPr>
        <w:pStyle w:val="SourceCode"/>
      </w:pPr>
      <w:r>
        <w:rPr>
          <w:rStyle w:val="VerbatimChar"/>
        </w:rPr>
        <w:t xml:space="preserve">\begin{figure}[h]</w:t>
      </w:r>
      <w:r>
        <w:br/>
      </w:r>
      <w:r>
        <w:rPr>
          <w:rStyle w:val="VerbatimChar"/>
        </w:rPr>
        <w:t xml:space="preserve">  \centering</w:t>
      </w:r>
      <w:r>
        <w:br/>
      </w:r>
      <w:r>
        <w:rPr>
          <w:rStyle w:val="VerbatimChar"/>
        </w:rPr>
        <w:t xml:space="preserve">  \includegraphics[width=0.5\textwidth]{morley_triangle_diagram.png}</w:t>
      </w:r>
      <w:r>
        <w:br/>
      </w:r>
      <w:r>
        <w:rPr>
          <w:rStyle w:val="VerbatimChar"/>
        </w:rPr>
        <w:t xml:space="preserve">  \caption{Triangle $ABC$ with adjacent trisectors at each vertex.  The intersection points $P,Q,R$ form the Morley triangle, which is equilateral.}</w:t>
      </w:r>
      <w:r>
        <w:br/>
      </w:r>
      <w:r>
        <w:rPr>
          <w:rStyle w:val="VerbatimChar"/>
        </w:rPr>
        <w:t xml:space="preserve">\end{figure}</w:t>
      </w:r>
    </w:p>
    <w:bookmarkEnd w:id="29"/>
    <w:bookmarkStart w:id="30" w:name="Xff8d926b26c40b3850cd87f9ef7403257c4b7a3"/>
    <w:p>
      <w:pPr>
        <w:pStyle w:val="Heading1"/>
      </w:pPr>
      <w:r>
        <w:t xml:space="preserve">Comparison of Original vs. Revised Notation and 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Original Version</w:t>
            </w:r>
          </w:p>
        </w:tc>
        <w:tc>
          <w:tcPr/>
          <w:p>
            <w:pPr>
              <w:pStyle w:val="Compact"/>
            </w:pPr>
            <w:r>
              <w:t xml:space="preserve">Revised Version</w:t>
            </w:r>
          </w:p>
        </w:tc>
      </w:tr>
      <w:tr>
        <w:tc>
          <w:tcPr/>
          <w:p>
            <w:pPr>
              <w:pStyle w:val="Compact"/>
            </w:pPr>
            <w:r>
              <w:rPr>
                <w:b/>
                <w:bCs/>
              </w:rPr>
              <w:t xml:space="preserve">Theorem statement</w:t>
            </w:r>
          </w:p>
        </w:tc>
        <w:tc>
          <w:tcPr/>
          <w:p>
            <w:pPr>
              <w:pStyle w:val="Compact"/>
            </w:pPr>
            <w:r>
              <w:t xml:space="preserve">Described in words without numbering.</w:t>
            </w:r>
          </w:p>
        </w:tc>
        <w:tc>
          <w:tcPr/>
          <w:p>
            <w:pPr>
              <w:pStyle w:val="Compact"/>
            </w:pPr>
            <w:r>
              <w:t xml:space="preserve">Clearly labeled</w:t>
            </w:r>
            <w:r>
              <w:t xml:space="preserve"> </w:t>
            </w:r>
            <w:r>
              <w:rPr>
                <w:i/>
                <w:iCs/>
              </w:rPr>
              <w:t xml:space="preserve">Theorem 1</w:t>
            </w:r>
            <w:r>
              <w:t xml:space="preserve">, with formal statement and notation.</w:t>
            </w:r>
          </w:p>
        </w:tc>
      </w:tr>
      <w:tr>
        <w:tc>
          <w:tcPr/>
          <w:p>
            <w:pPr>
              <w:pStyle w:val="Compact"/>
            </w:pPr>
            <w:r>
              <w:rPr>
                <w:b/>
                <w:bCs/>
              </w:rPr>
              <w:t xml:space="preserve">Definitions</w:t>
            </w:r>
          </w:p>
        </w:tc>
        <w:tc>
          <w:tcPr/>
          <w:p>
            <w:pPr>
              <w:pStyle w:val="Compact"/>
            </w:pPr>
            <w:r>
              <w:t xml:space="preserve">Implicit (trisectors, Morley triangle not explicitly defined).</w:t>
            </w:r>
          </w:p>
        </w:tc>
        <w:tc>
          <w:tcPr/>
          <w:p>
            <w:pPr>
              <w:pStyle w:val="Compact"/>
            </w:pPr>
            <w:r>
              <w:t xml:space="preserve">Added explicit Definition of trisectors and Morley triangle.</w:t>
            </w:r>
          </w:p>
        </w:tc>
      </w:tr>
      <w:tr>
        <w:tc>
          <w:tcPr/>
          <w:p>
            <w:pPr>
              <w:pStyle w:val="Compact"/>
            </w:pPr>
            <w:r>
              <w:rPr>
                <w:b/>
                <w:bCs/>
              </w:rPr>
              <w:t xml:space="preserve">Angles</w:t>
            </w:r>
          </w:p>
        </w:tc>
        <w:tc>
          <w:tcPr/>
          <w:p>
            <w:pPr>
              <w:pStyle w:val="Compact"/>
            </w:pPr>
            <w:r>
              <w:t xml:space="preserve">Wrote “angles A, B, C” then set $A=3\alpha$, etc.</w:t>
            </w:r>
          </w:p>
        </w:tc>
        <w:tc>
          <w:tcPr/>
          <w:p>
            <w:pPr>
              <w:pStyle w:val="Compact"/>
            </w:pPr>
            <w:r>
              <w:t xml:space="preserve">Always denote $\angle A=3\alpha$, $\angle B=3\beta$, $\angle C=3\gamma$; use $\angle A$ notation.</w:t>
            </w:r>
          </w:p>
        </w:tc>
      </w:tr>
      <w:tr>
        <w:tc>
          <w:tcPr/>
          <w:p>
            <w:pPr>
              <w:pStyle w:val="Compact"/>
            </w:pPr>
            <w:r>
              <w:rPr>
                <w:b/>
                <w:bCs/>
              </w:rPr>
              <w:t xml:space="preserve">Vertices and points</w:t>
            </w:r>
          </w:p>
        </w:tc>
        <w:tc>
          <w:tcPr/>
          <w:p>
            <w:pPr>
              <w:pStyle w:val="Compact"/>
            </w:pPr>
            <w:r>
              <w:t xml:space="preserve">Triangle $ABC$, intersection points sometimes $P,Q,R$ (also $X_i$).</w:t>
            </w:r>
          </w:p>
        </w:tc>
        <w:tc>
          <w:tcPr/>
          <w:p>
            <w:pPr>
              <w:pStyle w:val="Compact"/>
            </w:pPr>
            <w:r>
              <w:t xml:space="preserve">Consistently $A,B,C$ for outer triangle vertices; $P,Q,R$ for Morley triangle vertices.</w:t>
            </w:r>
          </w:p>
        </w:tc>
      </w:tr>
      <w:tr>
        <w:tc>
          <w:tcPr/>
          <w:p>
            <w:pPr>
              <w:pStyle w:val="Compact"/>
            </w:pPr>
            <w:r>
              <w:rPr>
                <w:b/>
                <w:bCs/>
              </w:rPr>
              <w:t xml:space="preserve">Proof organization</w:t>
            </w:r>
          </w:p>
        </w:tc>
        <w:tc>
          <w:tcPr/>
          <w:p>
            <w:pPr>
              <w:pStyle w:val="Compact"/>
            </w:pPr>
            <w:r>
              <w:t xml:space="preserve">Sections 2,3,4,… with informal titles (e.g. “Proof 1 — Trigonometry”).</w:t>
            </w:r>
          </w:p>
        </w:tc>
        <w:tc>
          <w:tcPr/>
          <w:p>
            <w:pPr>
              <w:pStyle w:val="Compact"/>
            </w:pPr>
            <w:r>
              <w:t xml:space="preserve">Subsections</w:t>
            </w:r>
            <w:r>
              <w:t xml:space="preserve"> </w:t>
            </w:r>
            <w:r>
              <w:rPr>
                <w:b/>
                <w:bCs/>
              </w:rPr>
              <w:t xml:space="preserve">Proof 1</w:t>
            </w:r>
            <w:r>
              <w:t xml:space="preserve"> </w:t>
            </w:r>
            <w:r>
              <w:t xml:space="preserve">through</w:t>
            </w:r>
            <w:r>
              <w:t xml:space="preserve"> </w:t>
            </w:r>
            <w:r>
              <w:rPr>
                <w:b/>
                <w:bCs/>
              </w:rPr>
              <w:t xml:space="preserve">Proof 5</w:t>
            </w:r>
            <w:r>
              <w:t xml:space="preserve">, each with descriptive subtitle and</w:t>
            </w:r>
            <w:r>
              <w:t xml:space="preserve"> </w:t>
            </w:r>
            <w:r>
              <w:rPr>
                <w:i/>
                <w:iCs/>
              </w:rPr>
              <w:t xml:space="preserve">Proof.</w:t>
            </w:r>
            <w:r>
              <w:t xml:space="preserve"> </w:t>
            </w:r>
            <w:r>
              <w:t xml:space="preserve">label.</w:t>
            </w:r>
          </w:p>
        </w:tc>
      </w:tr>
      <w:tr>
        <w:tc>
          <w:tcPr/>
          <w:p>
            <w:pPr>
              <w:pStyle w:val="Compact"/>
            </w:pPr>
            <w:r>
              <w:rPr>
                <w:b/>
                <w:bCs/>
              </w:rPr>
              <w:t xml:space="preserve">Lemmas</w:t>
            </w:r>
          </w:p>
        </w:tc>
        <w:tc>
          <w:tcPr/>
          <w:p>
            <w:pPr>
              <w:pStyle w:val="Compact"/>
            </w:pPr>
            <w:r>
              <w:t xml:space="preserve">None explicitly; some identities used without statement.</w:t>
            </w:r>
          </w:p>
        </w:tc>
        <w:tc>
          <w:tcPr/>
          <w:p>
            <w:pPr>
              <w:pStyle w:val="Compact"/>
            </w:pPr>
            <w:r>
              <w:t xml:space="preserve">Added</w:t>
            </w:r>
            <w:r>
              <w:t xml:space="preserve"> </w:t>
            </w:r>
            <w:r>
              <w:rPr>
                <w:i/>
                <w:iCs/>
              </w:rPr>
              <w:t xml:space="preserve">Lemma</w:t>
            </w:r>
            <w:r>
              <w:t xml:space="preserve"> </w:t>
            </w:r>
            <w:r>
              <w:t xml:space="preserve">for equilateral‐triangle condition (complex version) and applied it.</w:t>
            </w:r>
          </w:p>
        </w:tc>
      </w:tr>
      <w:tr>
        <w:tc>
          <w:tcPr/>
          <w:p>
            <w:pPr>
              <w:pStyle w:val="Compact"/>
            </w:pPr>
            <w:r>
              <w:rPr>
                <w:b/>
                <w:bCs/>
              </w:rPr>
              <w:t xml:space="preserve">Trigonometric identities</w:t>
            </w:r>
          </w:p>
        </w:tc>
        <w:tc>
          <w:tcPr/>
          <w:p>
            <w:pPr>
              <w:pStyle w:val="Compact"/>
            </w:pPr>
            <w:r>
              <w:t xml:space="preserve">Used $\sin(3\alpha)$ triple-angle but did not cite formula.</w:t>
            </w:r>
          </w:p>
        </w:tc>
        <w:tc>
          <w:tcPr/>
          <w:p>
            <w:pPr>
              <w:pStyle w:val="Compact"/>
            </w:pPr>
            <w:r>
              <w:t xml:space="preserve">Stated triple-angle identity (citing a source</w:t>
            </w:r>
            <w:hyperlink r:id="rId22">
              <w:r>
                <w:rPr>
                  <w:rStyle w:val="Hyperlink"/>
                </w:rPr>
                <w:t xml:space="preserve">[2]</w:t>
              </w:r>
            </w:hyperlink>
            <w:r>
              <w:t xml:space="preserve">) and applied it explicitly.</w:t>
            </w:r>
          </w:p>
        </w:tc>
      </w:tr>
      <w:tr>
        <w:tc>
          <w:tcPr/>
          <w:p>
            <w:pPr>
              <w:pStyle w:val="Compact"/>
            </w:pPr>
            <w:r>
              <w:rPr>
                <w:b/>
                <w:bCs/>
              </w:rPr>
              <w:t xml:space="preserve">Algebraic steps</w:t>
            </w:r>
          </w:p>
        </w:tc>
        <w:tc>
          <w:tcPr/>
          <w:p>
            <w:pPr>
              <w:pStyle w:val="Compact"/>
            </w:pPr>
            <w:r>
              <w:t xml:space="preserve">Many steps condensed; e.g. “identical argument” glides through calculations.</w:t>
            </w:r>
          </w:p>
        </w:tc>
        <w:tc>
          <w:tcPr/>
          <w:p>
            <w:pPr>
              <w:pStyle w:val="Compact"/>
            </w:pPr>
            <w:r>
              <w:t xml:space="preserve">Each algebraic/cosine law step is shown or described; cancellations and symmetry arguments are explained.</w:t>
            </w:r>
          </w:p>
        </w:tc>
      </w:tr>
      <w:tr>
        <w:tc>
          <w:tcPr/>
          <w:p>
            <w:pPr>
              <w:pStyle w:val="Compact"/>
            </w:pPr>
            <w:r>
              <w:rPr>
                <w:b/>
                <w:bCs/>
              </w:rPr>
              <w:t xml:space="preserve">Rigor</w:t>
            </w:r>
          </w:p>
        </w:tc>
        <w:tc>
          <w:tcPr/>
          <w:p>
            <w:pPr>
              <w:pStyle w:val="Compact"/>
            </w:pPr>
            <w:r>
              <w:t xml:space="preserve">Some steps assumed; e.g. showed $PQ=PR$ by similarity without detail.</w:t>
            </w:r>
          </w:p>
        </w:tc>
        <w:tc>
          <w:tcPr/>
          <w:p>
            <w:pPr>
              <w:pStyle w:val="Compact"/>
            </w:pPr>
            <w:r>
              <w:t xml:space="preserve">Filled in details (Law of Cosines computation, angle sums) to remove gaps.</w:t>
            </w:r>
          </w:p>
        </w:tc>
      </w:tr>
      <w:tr>
        <w:tc>
          <w:tcPr/>
          <w:p>
            <w:pPr>
              <w:pStyle w:val="Compact"/>
            </w:pPr>
            <w:r>
              <w:rPr>
                <w:b/>
                <w:bCs/>
              </w:rPr>
              <w:t xml:space="preserve">Examples/intuition</w:t>
            </w:r>
          </w:p>
        </w:tc>
        <w:tc>
          <w:tcPr/>
          <w:p>
            <w:pPr>
              <w:pStyle w:val="Compact"/>
            </w:pPr>
            <w:r>
              <w:t xml:space="preserve">Minimal discussion of why proof works.</w:t>
            </w:r>
          </w:p>
        </w:tc>
        <w:tc>
          <w:tcPr/>
          <w:p>
            <w:pPr>
              <w:pStyle w:val="Compact"/>
            </w:pPr>
            <w:r>
              <w:t xml:space="preserve">Provided intuitive commentary (e.g. starting from equilateral triangle in Proof 3).</w:t>
            </w:r>
          </w:p>
        </w:tc>
      </w:tr>
      <w:tr>
        <w:tc>
          <w:tcPr/>
          <w:p>
            <w:pPr>
              <w:pStyle w:val="Compact"/>
            </w:pPr>
            <w:r>
              <w:rPr>
                <w:b/>
                <w:bCs/>
              </w:rPr>
              <w:t xml:space="preserve">References/Citations</w:t>
            </w:r>
          </w:p>
        </w:tc>
        <w:tc>
          <w:tcPr/>
          <w:p>
            <w:pPr>
              <w:pStyle w:val="Compact"/>
            </w:pPr>
            <w:r>
              <w:t xml:space="preserve">None.</w:t>
            </w:r>
          </w:p>
        </w:tc>
        <w:tc>
          <w:tcPr/>
          <w:p>
            <w:pPr>
              <w:pStyle w:val="Compact"/>
            </w:pPr>
            <w:r>
              <w:t xml:space="preserve">Added citations for known facts (Morley 1899</w:t>
            </w:r>
            <w:hyperlink r:id="rId21">
              <w:r>
                <w:rPr>
                  <w:rStyle w:val="Hyperlink"/>
                </w:rPr>
                <w:t xml:space="preserve">[1]</w:t>
              </w:r>
            </w:hyperlink>
            <w:r>
              <w:t xml:space="preserve">, standard identities</w:t>
            </w:r>
            <w:hyperlink r:id="rId22">
              <w:r>
                <w:rPr>
                  <w:rStyle w:val="Hyperlink"/>
                </w:rPr>
                <w:t xml:space="preserve">[2]</w:t>
              </w:r>
            </w:hyperlink>
            <w:r>
              <w:t xml:space="preserve">, etc.).</w:t>
            </w:r>
          </w:p>
        </w:tc>
      </w:tr>
      <w:tr>
        <w:tc>
          <w:tcPr/>
          <w:p>
            <w:pPr>
              <w:pStyle w:val="Compact"/>
            </w:pPr>
            <w:r>
              <w:rPr>
                <w:b/>
                <w:bCs/>
              </w:rPr>
              <w:t xml:space="preserve">Formatting/LaTeX</w:t>
            </w:r>
          </w:p>
        </w:tc>
        <w:tc>
          <w:tcPr/>
          <w:p>
            <w:pPr>
              <w:pStyle w:val="Compact"/>
            </w:pPr>
            <w:r>
              <w:t xml:space="preserve">Plain text style, angles written as e.g. “60°–α”.</w:t>
            </w:r>
          </w:p>
        </w:tc>
        <w:tc>
          <w:tcPr/>
          <w:p>
            <w:pPr>
              <w:pStyle w:val="Compact"/>
            </w:pPr>
            <w:r>
              <w:t xml:space="preserve">LaTeX math for angles (e.g. $60^\circ - \alpha$), displayed equations for clarity.</w:t>
            </w:r>
          </w:p>
        </w:tc>
      </w:tr>
      <w:tr>
        <w:tc>
          <w:tcPr/>
          <w:p>
            <w:pPr>
              <w:pStyle w:val="Compact"/>
            </w:pPr>
            <w:r>
              <w:rPr>
                <w:b/>
                <w:bCs/>
              </w:rPr>
              <w:t xml:space="preserve">Figures</w:t>
            </w:r>
          </w:p>
        </w:tc>
        <w:tc>
          <w:tcPr/>
          <w:p>
            <w:pPr>
              <w:pStyle w:val="Compact"/>
            </w:pPr>
            <w:r>
              <w:t xml:space="preserve">None included.</w:t>
            </w:r>
          </w:p>
        </w:tc>
        <w:tc>
          <w:tcPr/>
          <w:p>
            <w:pPr>
              <w:pStyle w:val="Compact"/>
            </w:pPr>
            <w:r>
              <w:t xml:space="preserve">Recommended figures (triangle with trisectors, flowchart) with LaTeX snippet suggestion.</w:t>
            </w:r>
          </w:p>
        </w:tc>
      </w:tr>
      <w:tr>
        <w:tc>
          <w:tcPr/>
          <w:p>
            <w:pPr>
              <w:pStyle w:val="Compact"/>
            </w:pPr>
            <w:r>
              <w:rPr>
                <w:b/>
                <w:bCs/>
              </w:rPr>
              <w:t xml:space="preserve">Audience Level</w:t>
            </w:r>
          </w:p>
        </w:tc>
        <w:tc>
          <w:tcPr/>
          <w:p>
            <w:pPr>
              <w:pStyle w:val="Compact"/>
            </w:pPr>
            <w:r>
              <w:t xml:space="preserve">Informal exposition, likely for general readers.</w:t>
            </w:r>
          </w:p>
        </w:tc>
        <w:tc>
          <w:tcPr/>
          <w:p>
            <w:pPr>
              <w:pStyle w:val="Compact"/>
            </w:pPr>
            <w:r>
              <w:t xml:space="preserve">Geared to advanced undergrad/grad: formal language, complete proofs, notation table.</w:t>
            </w:r>
          </w:p>
        </w:tc>
      </w:tr>
    </w:tbl>
    <w:bookmarkEnd w:id="30"/>
    <w:bookmarkEnd w:id="31"/>
    <w:p>
      <w:r>
        <w:pict>
          <v:rect style="width:0;height:1.5pt" o:hralign="center" o:hrstd="t" o:hr="t"/>
        </w:pict>
      </w:r>
    </w:p>
    <w:bookmarkStart w:id="3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6">
        <w:r>
          <w:rPr>
            <w:rStyle w:val="Hyperlink"/>
          </w:rPr>
          <w:t xml:space="preserve">[5]</w:t>
        </w:r>
      </w:hyperlink>
      <w:r>
        <w:t xml:space="preserve"> </w:t>
      </w:r>
      <w:r>
        <w:t xml:space="preserve">Morley's trisector theorem - Wikipedia</w:t>
      </w:r>
    </w:p>
    <w:p>
      <w:pPr>
        <w:pStyle w:val="BodyText"/>
      </w:pPr>
      <w:hyperlink r:id="rId32">
        <w:r>
          <w:rPr>
            <w:rStyle w:val="Hyperlink"/>
          </w:rPr>
          <w:t xml:space="preserve">https://en.wikipedia.org/wiki/Morley%27s_trisector_theorem</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r>
        <w:t xml:space="preserve">math.osu.edu</w:t>
      </w:r>
    </w:p>
    <w:p>
      <w:pPr>
        <w:pStyle w:val="BodyText"/>
      </w:pPr>
      <w:hyperlink r:id="rId33">
        <w:r>
          <w:rPr>
            <w:rStyle w:val="Hyperlink"/>
          </w:rPr>
          <w:t xml:space="preserve">https://math.osu.edu/sites/math.osu.edu/files/Morley.pdf</w:t>
        </w:r>
      </w:hyperlink>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en.wikipedia.org/wiki/Morley%27s_trisector_theorem" TargetMode="External" /><Relationship Type="http://schemas.openxmlformats.org/officeDocument/2006/relationships/hyperlink" Id="rId26" Target="https://en.wikipedia.org/wiki/Morley%27s_trisector_theorem#:~:text=Connes%20%C2%A0,and%20hyperbolic%20geometry" TargetMode="External" /><Relationship Type="http://schemas.openxmlformats.org/officeDocument/2006/relationships/hyperlink" Id="rId21" Target="https://en.wikipedia.org/wiki/Morley%27s_trisector_theorem#:~:text=In%20plane%20geometry%20%2C%20Morley%27s,It%20has%20various%20generalizations" TargetMode="External" /><Relationship Type="http://schemas.openxmlformats.org/officeDocument/2006/relationships/hyperlink" Id="rId22" Target="https://en.wikipedia.org/wiki/Morley%27s_trisector_theorem#:~:text=One%20proof%20uses%20the%20trigonometric,identity" TargetMode="External" /><Relationship Type="http://schemas.openxmlformats.org/officeDocument/2006/relationships/hyperlink" Id="rId33" Target="https://math.osu.edu/sites/math.osu.edu/files/Morley.pdf" TargetMode="External" /><Relationship Type="http://schemas.openxmlformats.org/officeDocument/2006/relationships/hyperlink" Id="rId25" Target="https://math.osu.edu/sites/math.osu.edu/files/Morley.pdf#:~:text=%2C%20so%20the%20new%20triangle,Morley%20triangle%20is%20equilat%02eral" TargetMode="External" /><Relationship Type="http://schemas.openxmlformats.org/officeDocument/2006/relationships/hyperlink" Id="rId24" Target="https://math.osu.edu/sites/math.osu.edu/files/Morley.pdf#:~:text=Proof,3%CE%B3%2C%20the%20Morley%20Triangle%20is" TargetMode="External" /></Relationships>
</file>

<file path=word/_rels/footnotes.xml.rels><?xml version="1.0" encoding="UTF-8"?><Relationships xmlns="http://schemas.openxmlformats.org/package/2006/relationships"><Relationship Type="http://schemas.openxmlformats.org/officeDocument/2006/relationships/hyperlink" Id="rId32" Target="https://en.wikipedia.org/wiki/Morley%27s_trisector_theorem" TargetMode="External" /><Relationship Type="http://schemas.openxmlformats.org/officeDocument/2006/relationships/hyperlink" Id="rId26" Target="https://en.wikipedia.org/wiki/Morley%27s_trisector_theorem#:~:text=Connes%20%C2%A0,and%20hyperbolic%20geometry" TargetMode="External" /><Relationship Type="http://schemas.openxmlformats.org/officeDocument/2006/relationships/hyperlink" Id="rId21" Target="https://en.wikipedia.org/wiki/Morley%27s_trisector_theorem#:~:text=In%20plane%20geometry%20%2C%20Morley%27s,It%20has%20various%20generalizations" TargetMode="External" /><Relationship Type="http://schemas.openxmlformats.org/officeDocument/2006/relationships/hyperlink" Id="rId22" Target="https://en.wikipedia.org/wiki/Morley%27s_trisector_theorem#:~:text=One%20proof%20uses%20the%20trigonometric,identity" TargetMode="External" /><Relationship Type="http://schemas.openxmlformats.org/officeDocument/2006/relationships/hyperlink" Id="rId33" Target="https://math.osu.edu/sites/math.osu.edu/files/Morley.pdf" TargetMode="External" /><Relationship Type="http://schemas.openxmlformats.org/officeDocument/2006/relationships/hyperlink" Id="rId25" Target="https://math.osu.edu/sites/math.osu.edu/files/Morley.pdf#:~:text=%2C%20so%20the%20new%20triangle,Morley%20triangle%20is%20equilat%02eral" TargetMode="External" /><Relationship Type="http://schemas.openxmlformats.org/officeDocument/2006/relationships/hyperlink" Id="rId24" Target="https://math.osu.edu/sites/math.osu.edu/files/Morley.pdf#:~:text=Proof,3%CE%B3%2C%20the%20Morley%20Triangle%20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2026-04-19T14:20:01Z</dcterms:created>
  <dcterms:modified xsi:type="dcterms:W3CDTF">2026-04-19T14:20:01Z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