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4A7A"/>
          <w:sz w:val="32"/>
          <w:szCs w:val="32"/>
        </w:rPr>
        <w:t xml:space="preserve">PAMPERED PETS</w:t>
      </w:r>
    </w:p>
    <w:p>
      <w:pPr>
        <w:spacing w:after="200"/>
        <w:jc w:val="center"/>
      </w:pPr>
      <w:r>
        <w:rPr>
          <w:rFonts w:ascii="Arial" w:cs="Arial" w:eastAsia="Arial" w:hAnsi="Arial"/>
          <w:b/>
          <w:bCs/>
          <w:color w:val="1F3461"/>
          <w:sz w:val="32"/>
          <w:szCs w:val="32"/>
        </w:rPr>
        <w:t xml:space="preserve">Security &amp; Risk Management Report</w:t>
      </w:r>
    </w:p>
    <w:p>
      <w:pPr>
        <w:spacing w:after="200"/>
        <w:jc w:val="center"/>
      </w:pPr>
      <w:r>
        <w:rPr>
          <w:rFonts w:ascii="Arial" w:cs="Arial" w:eastAsia="Arial" w:hAnsi="Arial"/>
          <w:color w:val="555555"/>
          <w:sz w:val="24"/>
          <w:szCs w:val="24"/>
        </w:rPr>
        <w:t xml:space="preserve">Executive Summary: Quantitative Risk Assessment of the Global Digitalisation Programme</w:t>
      </w:r>
    </w:p>
    <w:p>
      <w:pPr>
        <w:spacing w:after="600"/>
        <w:jc w:val="center"/>
      </w:pPr>
      <w:r>
        <w:rPr>
          <w:rFonts w:ascii="Arial" w:cs="Arial" w:eastAsia="Arial" w:hAnsi="Arial"/>
          <w:color w:val="555555"/>
          <w:sz w:val="24"/>
          <w:szCs w:val="24"/>
        </w:rPr>
        <w:t xml:space="preserve">Client: Pampered Pets | Date: July 2026</w:t>
      </w:r>
    </w:p>
    <w:p>
      <w:pPr>
        <w:pageBreakBefore/>
      </w:pPr>
      <w:r>
        <w:br/>
        <w:t xml:space="preserve"/>
      </w:r>
    </w:p>
    <w:p>
      <w:pPr>
        <w:spacing w:after="240" w:before="200"/>
      </w:pPr>
      <w:r>
        <w:rPr>
          <w:rFonts w:ascii="Arial" w:cs="Arial" w:eastAsia="Arial" w:hAnsi="Arial"/>
          <w:b/>
          <w:bCs/>
          <w:sz w:val="28"/>
          <w:szCs w:val="28"/>
        </w:rPr>
        <w:t xml:space="preserve">Table of Contents</w:t>
      </w:r>
    </w:p>
    <w:p>
      <w:pPr>
        <w:tabs>
          <w:tab w:val="right" w:pos="9026" w:leader="dot"/>
        </w:tabs>
        <w:spacing w:after="40" w:before="40" w:line="360" w:lineRule="auto"/>
        <w:ind w:left="0"/>
      </w:pPr>
      <w:r>
        <w:rPr>
          <w:rFonts w:ascii="Arial" w:cs="Arial" w:eastAsia="Arial" w:hAnsi="Arial"/>
          <w:sz w:val="24"/>
          <w:szCs w:val="24"/>
        </w:rPr>
        <w:t xml:space="preserve">List of Abbreviations</w:t>
      </w:r>
      <w:r>
        <w:rPr>
          <w:rFonts w:ascii="Arial" w:cs="Arial" w:eastAsia="Arial" w:hAnsi="Arial"/>
          <w:sz w:val="24"/>
          <w:szCs w:val="24"/>
        </w:rPr>
        <w:t xml:space="preserve">	3</w:t>
      </w:r>
    </w:p>
    <w:p>
      <w:pPr>
        <w:tabs>
          <w:tab w:val="right" w:pos="9026" w:leader="dot"/>
        </w:tabs>
        <w:spacing w:after="40" w:before="40" w:line="360" w:lineRule="auto"/>
        <w:ind w:left="0"/>
      </w:pPr>
      <w:r>
        <w:rPr>
          <w:rFonts w:ascii="Arial" w:cs="Arial" w:eastAsia="Arial" w:hAnsi="Arial"/>
          <w:sz w:val="24"/>
          <w:szCs w:val="24"/>
        </w:rPr>
        <w:t xml:space="preserve">1. Introduction</w:t>
      </w:r>
      <w:r>
        <w:rPr>
          <w:rFonts w:ascii="Arial" w:cs="Arial" w:eastAsia="Arial" w:hAnsi="Arial"/>
          <w:sz w:val="24"/>
          <w:szCs w:val="24"/>
        </w:rPr>
        <w:t xml:space="preserve">	4</w:t>
      </w:r>
    </w:p>
    <w:p>
      <w:pPr>
        <w:tabs>
          <w:tab w:val="right" w:pos="9026" w:leader="dot"/>
        </w:tabs>
        <w:spacing w:after="40" w:before="40" w:line="360" w:lineRule="auto"/>
        <w:ind w:left="0"/>
      </w:pPr>
      <w:r>
        <w:rPr>
          <w:rFonts w:ascii="Arial" w:cs="Arial" w:eastAsia="Arial" w:hAnsi="Arial"/>
          <w:sz w:val="24"/>
          <w:szCs w:val="24"/>
        </w:rPr>
        <w:t xml:space="preserve">2. Potential Risks to Quality and Supply Chain</w:t>
      </w:r>
      <w:r>
        <w:rPr>
          <w:rFonts w:ascii="Arial" w:cs="Arial" w:eastAsia="Arial" w:hAnsi="Arial"/>
          <w:sz w:val="24"/>
          <w:szCs w:val="24"/>
        </w:rPr>
        <w:t xml:space="preserve">	4</w:t>
      </w:r>
    </w:p>
    <w:p>
      <w:pPr>
        <w:tabs>
          <w:tab w:val="right" w:pos="9026" w:leader="dot"/>
        </w:tabs>
        <w:spacing w:after="40" w:before="40" w:line="360" w:lineRule="auto"/>
        <w:ind w:left="300"/>
      </w:pPr>
      <w:r>
        <w:rPr>
          <w:rFonts w:ascii="Arial" w:cs="Arial" w:eastAsia="Arial" w:hAnsi="Arial"/>
          <w:sz w:val="24"/>
          <w:szCs w:val="24"/>
        </w:rPr>
        <w:t xml:space="preserve">2.1) Selection of Quantitative Risk Modelling Approach(es)</w:t>
      </w:r>
      <w:r>
        <w:rPr>
          <w:rFonts w:ascii="Arial" w:cs="Arial" w:eastAsia="Arial" w:hAnsi="Arial"/>
          <w:sz w:val="24"/>
          <w:szCs w:val="24"/>
        </w:rPr>
        <w:t xml:space="preserve">	4</w:t>
      </w:r>
    </w:p>
    <w:p>
      <w:pPr>
        <w:tabs>
          <w:tab w:val="right" w:pos="9026" w:leader="dot"/>
        </w:tabs>
        <w:spacing w:after="40" w:before="40" w:line="360" w:lineRule="auto"/>
        <w:ind w:left="300"/>
      </w:pPr>
      <w:r>
        <w:rPr>
          <w:rFonts w:ascii="Arial" w:cs="Arial" w:eastAsia="Arial" w:hAnsi="Arial"/>
          <w:sz w:val="24"/>
          <w:szCs w:val="24"/>
        </w:rPr>
        <w:t xml:space="preserve">2.2) Explanation of Calculations, Assumptions and Sources of Data</w:t>
      </w:r>
      <w:r>
        <w:rPr>
          <w:rFonts w:ascii="Arial" w:cs="Arial" w:eastAsia="Arial" w:hAnsi="Arial"/>
          <w:sz w:val="24"/>
          <w:szCs w:val="24"/>
        </w:rPr>
        <w:t xml:space="preserve">	5</w:t>
      </w:r>
    </w:p>
    <w:p>
      <w:pPr>
        <w:tabs>
          <w:tab w:val="right" w:pos="9026" w:leader="dot"/>
        </w:tabs>
        <w:spacing w:after="40" w:before="40" w:line="360" w:lineRule="auto"/>
        <w:ind w:left="300"/>
      </w:pPr>
      <w:r>
        <w:rPr>
          <w:rFonts w:ascii="Arial" w:cs="Arial" w:eastAsia="Arial" w:hAnsi="Arial"/>
          <w:sz w:val="24"/>
          <w:szCs w:val="24"/>
        </w:rPr>
        <w:t xml:space="preserve">2.3) Results of the Quantitative Models</w:t>
      </w:r>
      <w:r>
        <w:rPr>
          <w:rFonts w:ascii="Arial" w:cs="Arial" w:eastAsia="Arial" w:hAnsi="Arial"/>
          <w:sz w:val="24"/>
          <w:szCs w:val="24"/>
        </w:rPr>
        <w:t xml:space="preserve">	6</w:t>
      </w:r>
    </w:p>
    <w:p>
      <w:pPr>
        <w:tabs>
          <w:tab w:val="right" w:pos="9026" w:leader="dot"/>
        </w:tabs>
        <w:spacing w:after="40" w:before="40" w:line="360" w:lineRule="auto"/>
        <w:ind w:left="300"/>
      </w:pPr>
      <w:r>
        <w:rPr>
          <w:rFonts w:ascii="Arial" w:cs="Arial" w:eastAsia="Arial" w:hAnsi="Arial"/>
          <w:sz w:val="24"/>
          <w:szCs w:val="24"/>
        </w:rPr>
        <w:t xml:space="preserve">2.4) Limitations of the Quantitative Approach</w:t>
      </w:r>
      <w:r>
        <w:rPr>
          <w:rFonts w:ascii="Arial" w:cs="Arial" w:eastAsia="Arial" w:hAnsi="Arial"/>
          <w:sz w:val="24"/>
          <w:szCs w:val="24"/>
        </w:rPr>
        <w:t xml:space="preserve">	7</w:t>
      </w:r>
    </w:p>
    <w:p>
      <w:pPr>
        <w:tabs>
          <w:tab w:val="right" w:pos="9026" w:leader="dot"/>
        </w:tabs>
        <w:spacing w:after="40" w:before="40" w:line="360" w:lineRule="auto"/>
        <w:ind w:left="300"/>
      </w:pPr>
      <w:r>
        <w:rPr>
          <w:rFonts w:ascii="Arial" w:cs="Arial" w:eastAsia="Arial" w:hAnsi="Arial"/>
          <w:sz w:val="24"/>
          <w:szCs w:val="24"/>
        </w:rPr>
        <w:t xml:space="preserve">2.5) Future Improvements</w:t>
      </w:r>
      <w:r>
        <w:rPr>
          <w:rFonts w:ascii="Arial" w:cs="Arial" w:eastAsia="Arial" w:hAnsi="Arial"/>
          <w:sz w:val="24"/>
          <w:szCs w:val="24"/>
        </w:rPr>
        <w:t xml:space="preserve">	7</w:t>
      </w:r>
    </w:p>
    <w:p>
      <w:pPr>
        <w:tabs>
          <w:tab w:val="right" w:pos="9026" w:leader="dot"/>
        </w:tabs>
        <w:spacing w:after="40" w:before="40" w:line="360" w:lineRule="auto"/>
        <w:ind w:left="0"/>
      </w:pPr>
      <w:r>
        <w:rPr>
          <w:rFonts w:ascii="Arial" w:cs="Arial" w:eastAsia="Arial" w:hAnsi="Arial"/>
          <w:sz w:val="24"/>
          <w:szCs w:val="24"/>
        </w:rPr>
        <w:t xml:space="preserve">3. Summary of Results and Recommendations</w:t>
      </w:r>
      <w:r>
        <w:rPr>
          <w:rFonts w:ascii="Arial" w:cs="Arial" w:eastAsia="Arial" w:hAnsi="Arial"/>
          <w:sz w:val="24"/>
          <w:szCs w:val="24"/>
        </w:rPr>
        <w:t xml:space="preserve">	8</w:t>
      </w:r>
    </w:p>
    <w:p>
      <w:pPr>
        <w:tabs>
          <w:tab w:val="right" w:pos="9026" w:leader="dot"/>
        </w:tabs>
        <w:spacing w:after="40" w:before="40" w:line="360" w:lineRule="auto"/>
        <w:ind w:left="300"/>
      </w:pPr>
      <w:r>
        <w:rPr>
          <w:rFonts w:ascii="Arial" w:cs="Arial" w:eastAsia="Arial" w:hAnsi="Arial"/>
          <w:sz w:val="24"/>
          <w:szCs w:val="24"/>
        </w:rPr>
        <w:t xml:space="preserve">3.1) Expected Business Benefits</w:t>
      </w:r>
      <w:r>
        <w:rPr>
          <w:rFonts w:ascii="Arial" w:cs="Arial" w:eastAsia="Arial" w:hAnsi="Arial"/>
          <w:sz w:val="24"/>
          <w:szCs w:val="24"/>
        </w:rPr>
        <w:t xml:space="preserve">	8</w:t>
      </w:r>
    </w:p>
    <w:p>
      <w:pPr>
        <w:tabs>
          <w:tab w:val="right" w:pos="9026" w:leader="dot"/>
        </w:tabs>
        <w:spacing w:after="40" w:before="40" w:line="360" w:lineRule="auto"/>
        <w:ind w:left="0"/>
      </w:pPr>
      <w:r>
        <w:rPr>
          <w:rFonts w:ascii="Arial" w:cs="Arial" w:eastAsia="Arial" w:hAnsi="Arial"/>
          <w:sz w:val="24"/>
          <w:szCs w:val="24"/>
        </w:rPr>
        <w:t xml:space="preserve">4. Business Continuity / Disaster Recovery (DR) Strategy</w:t>
      </w:r>
      <w:r>
        <w:rPr>
          <w:rFonts w:ascii="Arial" w:cs="Arial" w:eastAsia="Arial" w:hAnsi="Arial"/>
          <w:sz w:val="24"/>
          <w:szCs w:val="24"/>
        </w:rPr>
        <w:t xml:space="preserve">	9</w:t>
      </w:r>
    </w:p>
    <w:p>
      <w:pPr>
        <w:tabs>
          <w:tab w:val="right" w:pos="9026" w:leader="dot"/>
        </w:tabs>
        <w:spacing w:after="40" w:before="40" w:line="360" w:lineRule="auto"/>
        <w:ind w:left="300"/>
      </w:pPr>
      <w:r>
        <w:rPr>
          <w:rFonts w:ascii="Arial" w:cs="Arial" w:eastAsia="Arial" w:hAnsi="Arial"/>
          <w:sz w:val="24"/>
          <w:szCs w:val="24"/>
        </w:rPr>
        <w:t xml:space="preserve">4.1) Requirement Interpretation</w:t>
      </w:r>
      <w:r>
        <w:rPr>
          <w:rFonts w:ascii="Arial" w:cs="Arial" w:eastAsia="Arial" w:hAnsi="Arial"/>
          <w:sz w:val="24"/>
          <w:szCs w:val="24"/>
        </w:rPr>
        <w:t xml:space="preserve">	9</w:t>
      </w:r>
    </w:p>
    <w:p>
      <w:pPr>
        <w:tabs>
          <w:tab w:val="right" w:pos="9026" w:leader="dot"/>
        </w:tabs>
        <w:spacing w:after="40" w:before="40" w:line="360" w:lineRule="auto"/>
        <w:ind w:left="300"/>
      </w:pPr>
      <w:r>
        <w:rPr>
          <w:rFonts w:ascii="Arial" w:cs="Arial" w:eastAsia="Arial" w:hAnsi="Arial"/>
          <w:sz w:val="24"/>
          <w:szCs w:val="24"/>
        </w:rPr>
        <w:t xml:space="preserve">4.2) Recommended Architecture</w:t>
      </w:r>
      <w:r>
        <w:rPr>
          <w:rFonts w:ascii="Arial" w:cs="Arial" w:eastAsia="Arial" w:hAnsi="Arial"/>
          <w:sz w:val="24"/>
          <w:szCs w:val="24"/>
        </w:rPr>
        <w:t xml:space="preserve">	9</w:t>
      </w:r>
    </w:p>
    <w:p>
      <w:pPr>
        <w:tabs>
          <w:tab w:val="right" w:pos="9026" w:leader="dot"/>
        </w:tabs>
        <w:spacing w:after="40" w:before="40" w:line="360" w:lineRule="auto"/>
        <w:ind w:left="300"/>
      </w:pPr>
      <w:r>
        <w:rPr>
          <w:rFonts w:ascii="Arial" w:cs="Arial" w:eastAsia="Arial" w:hAnsi="Arial"/>
          <w:sz w:val="24"/>
          <w:szCs w:val="24"/>
        </w:rPr>
        <w:t xml:space="preserve">4.3) Platform Recommendation</w:t>
      </w:r>
      <w:r>
        <w:rPr>
          <w:rFonts w:ascii="Arial" w:cs="Arial" w:eastAsia="Arial" w:hAnsi="Arial"/>
          <w:sz w:val="24"/>
          <w:szCs w:val="24"/>
        </w:rPr>
        <w:t xml:space="preserve">	10</w:t>
      </w:r>
    </w:p>
    <w:p>
      <w:pPr>
        <w:tabs>
          <w:tab w:val="right" w:pos="9026" w:leader="dot"/>
        </w:tabs>
        <w:spacing w:after="40" w:before="40" w:line="360" w:lineRule="auto"/>
        <w:ind w:left="300"/>
      </w:pPr>
      <w:r>
        <w:rPr>
          <w:rFonts w:ascii="Arial" w:cs="Arial" w:eastAsia="Arial" w:hAnsi="Arial"/>
          <w:sz w:val="24"/>
          <w:szCs w:val="24"/>
        </w:rPr>
        <w:t xml:space="preserve">4.4) Vendor Lock-In Advice</w:t>
      </w:r>
      <w:r>
        <w:rPr>
          <w:rFonts w:ascii="Arial" w:cs="Arial" w:eastAsia="Arial" w:hAnsi="Arial"/>
          <w:sz w:val="24"/>
          <w:szCs w:val="24"/>
        </w:rPr>
        <w:t xml:space="preserve">	10</w:t>
      </w:r>
    </w:p>
    <w:p>
      <w:pPr>
        <w:tabs>
          <w:tab w:val="right" w:pos="9026" w:leader="dot"/>
        </w:tabs>
        <w:spacing w:after="40" w:before="40" w:line="360" w:lineRule="auto"/>
        <w:ind w:left="0"/>
      </w:pPr>
      <w:r>
        <w:rPr>
          <w:rFonts w:ascii="Arial" w:cs="Arial" w:eastAsia="Arial" w:hAnsi="Arial"/>
          <w:sz w:val="24"/>
          <w:szCs w:val="24"/>
        </w:rPr>
        <w:t xml:space="preserve">5. Conclusion</w:t>
      </w:r>
      <w:r>
        <w:rPr>
          <w:rFonts w:ascii="Arial" w:cs="Arial" w:eastAsia="Arial" w:hAnsi="Arial"/>
          <w:sz w:val="24"/>
          <w:szCs w:val="24"/>
        </w:rPr>
        <w:t xml:space="preserve">	11</w:t>
      </w:r>
    </w:p>
    <w:p>
      <w:pPr>
        <w:tabs>
          <w:tab w:val="right" w:pos="9026" w:leader="dot"/>
        </w:tabs>
        <w:spacing w:after="40" w:before="40" w:line="360" w:lineRule="auto"/>
        <w:ind w:left="0"/>
      </w:pPr>
      <w:r>
        <w:rPr>
          <w:rFonts w:ascii="Arial" w:cs="Arial" w:eastAsia="Arial" w:hAnsi="Arial"/>
          <w:sz w:val="24"/>
          <w:szCs w:val="24"/>
        </w:rPr>
        <w:t xml:space="preserve">6. References</w:t>
      </w:r>
      <w:r>
        <w:rPr>
          <w:rFonts w:ascii="Arial" w:cs="Arial" w:eastAsia="Arial" w:hAnsi="Arial"/>
          <w:sz w:val="24"/>
          <w:szCs w:val="24"/>
        </w:rPr>
        <w:t xml:space="preserve">	13</w:t>
      </w:r>
    </w:p>
    <w:p>
      <w:pPr>
        <w:pageBreakBefore/>
      </w:pPr>
    </w:p>
    <w:p>
      <w:pPr>
        <w:spacing w:after="240" w:before="200"/>
      </w:pPr>
      <w:r>
        <w:rPr>
          <w:rFonts w:ascii="Arial" w:cs="Arial" w:eastAsia="Arial" w:hAnsi="Arial"/>
          <w:b/>
          <w:bCs/>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Abbreviation</w:t>
            </w:r>
          </w:p>
        </w:tc>
        <w:tc>
          <w:tcPr>
            <w:tcW w:type="dxa" w:w="6826"/>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Meaning</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ALE</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Annualised Loss Expectancy</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ARO</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Annualised Rate of Occurrence</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SLE</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 Loss Expectancy</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Asset Value</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EF</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Exposure Factor</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RTO</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Recovery Time Objective</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RPO</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Recovery Point Objective</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Disaster Recovery</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GDPR</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General Data Protection Regulation</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International Organization for Standardization</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MFA</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Multi-Factor Authentication</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RBAC</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Role-Based Access Control</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SIEM</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 Information and Event Management</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WAF</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 Application Firewall</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VLAN</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Virtual Local Area Network</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OT</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Operational Technology</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SLA</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Service Level Agreement</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PERT</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Program Evaluation and Review Technique</w:t>
            </w:r>
          </w:p>
        </w:tc>
      </w:tr>
      <w:tr>
        <w:tc>
          <w:tcPr>
            <w:tcW w:type="dxa" w:w="2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ERP</w:t>
            </w:r>
          </w:p>
        </w:tc>
        <w:tc>
          <w:tcPr>
            <w:tcW w:type="dxa" w:w="68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Enterprise Resource Planning</w:t>
            </w:r>
          </w:p>
        </w:tc>
      </w:tr>
    </w:tbl>
    <w:p>
      <w:pPr>
        <w:pageBreakBefore/>
      </w:pPr>
    </w:p>
    <w:p>
      <w:pPr>
        <w:pStyle w:val="Heading1"/>
        <w:spacing w:after="80" w:before="360" w:line="480" w:lineRule="auto"/>
      </w:pPr>
      <w:r>
        <w:rPr>
          <w:rFonts w:ascii="Arial" w:cs="Arial" w:eastAsia="Arial" w:hAnsi="Arial"/>
          <w:b/>
          <w:bCs/>
          <w:sz w:val="28"/>
          <w:szCs w:val="28"/>
        </w:rPr>
        <w:t xml:space="preserve">1. Introduction</w:t>
      </w:r>
    </w:p>
    <w:p>
      <w:pPr>
        <w:spacing w:after="80" w:before="80" w:line="480" w:lineRule="auto"/>
      </w:pPr>
      <w:r>
        <w:rPr>
          <w:rFonts w:ascii="Arial" w:cs="Arial" w:eastAsia="Arial" w:hAnsi="Arial"/>
          <w:sz w:val="24"/>
          <w:szCs w:val="24"/>
        </w:rPr>
        <w:t xml:space="preserve">Pampered Pets was previously assessed using ISO/IEC 27005:2018 for its physical operation and STRIDE for its planned digitalisation (International Organization for Standardization, 2018a; Shevchenko et al., 2018). Cathy has since gone ahead, adding an international supply chain and automated warehouses worldwide. This has attracted two high-profile customers, HRH the King and Prince Albert II of Monaco, both concerned about product quality and supply chain security. This report quantifies both concerns, gives recommendations in priority order, and sets out a disaster recovery (DR) strategy meeting the strict availability requirement set by Orla O'dour.</w:t>
      </w:r>
    </w:p>
    <w:p>
      <w:pPr>
        <w:pStyle w:val="Heading1"/>
        <w:spacing w:after="80" w:before="360" w:line="480" w:lineRule="auto"/>
      </w:pPr>
      <w:r>
        <w:rPr>
          <w:rFonts w:ascii="Arial" w:cs="Arial" w:eastAsia="Arial" w:hAnsi="Arial"/>
          <w:b/>
          <w:bCs/>
          <w:sz w:val="28"/>
          <w:szCs w:val="28"/>
        </w:rPr>
        <w:t xml:space="preserve">2. Potential Risks to Quality and Supply Chain</w:t>
      </w:r>
    </w:p>
    <w:p>
      <w:pPr>
        <w:pStyle w:val="Heading2"/>
        <w:spacing w:after="80" w:before="160" w:line="480" w:lineRule="auto"/>
      </w:pPr>
      <w:r>
        <w:rPr>
          <w:rFonts w:ascii="Arial" w:cs="Arial" w:eastAsia="Arial" w:hAnsi="Arial"/>
          <w:b/>
          <w:bCs/>
          <w:sz w:val="24"/>
          <w:szCs w:val="24"/>
        </w:rPr>
        <w:t xml:space="preserve">2.1) Selection of Quantitative Risk Modelling Approach(es)</w:t>
      </w:r>
    </w:p>
    <w:p>
      <w:pPr>
        <w:spacing w:after="80" w:before="80" w:line="480" w:lineRule="auto"/>
      </w:pPr>
      <w:r>
        <w:rPr>
          <w:rFonts w:ascii="Arial" w:cs="Arial" w:eastAsia="Arial" w:hAnsi="Arial"/>
          <w:sz w:val="24"/>
          <w:szCs w:val="24"/>
        </w:rPr>
        <w:t xml:space="preserve">Two different quantitative methods were used, since quality risk and supply chain risk behave differently: one is best expressed as a single financial exposure, the other as a probability of at least one disruption occurring.</w:t>
      </w:r>
    </w:p>
    <w:p>
      <w:pPr>
        <w:pStyle w:val="ListParagraph"/>
        <w:numPr>
          <w:ilvl w:val="0"/>
          <w:numId w:val="2"/>
        </w:numPr>
        <w:spacing w:after="60" w:before="60" w:line="480" w:lineRule="auto"/>
      </w:pPr>
      <w:r>
        <w:rPr>
          <w:rFonts w:ascii="Arial" w:cs="Arial" w:eastAsia="Arial" w:hAnsi="Arial"/>
          <w:sz w:val="24"/>
          <w:szCs w:val="24"/>
        </w:rPr>
        <w:t xml:space="preserve">Annualised Loss Expectancy (ALE): used for the quality risk since it turns one well-defined asset (the premium brand reputation behind the two flagship accounts) into a single figure that can be weighed directly against the cost of controls, which is useful when reporting to non-technical stakeholders such as Cathy and Orla O'dour (Sutton, 2021; vCSO.ai, 2026). ALE = SLE × ARO, where SLE is Asset Value (AV) × Exposure Factor (EF), and ARO is how often the event is expected each year (Infosec Institute, 2021).</w:t>
      </w:r>
    </w:p>
    <w:p>
      <w:pPr>
        <w:pStyle w:val="ListParagraph"/>
        <w:numPr>
          <w:ilvl w:val="0"/>
          <w:numId w:val="2"/>
        </w:numPr>
        <w:spacing w:after="60" w:before="60" w:line="480" w:lineRule="auto"/>
      </w:pPr>
      <w:r>
        <w:rPr>
          <w:rFonts w:ascii="Arial" w:cs="Arial" w:eastAsia="Arial" w:hAnsi="Arial"/>
          <w:sz w:val="24"/>
          <w:szCs w:val="24"/>
        </w:rPr>
        <w:t xml:space="preserve">A three-point (PERT-style) probability estimate, combined into one compound probability: used for supply chain risk because disruption depends on five largely separate variables (customs delay, warehouse downtime, supplier concentration, an OT attack, and geopolitical disruption), rather than one loss event, so a single ALE figure would hide how many different things could go wrong (Shevchenko et al., 2018).</w:t>
      </w:r>
    </w:p>
    <w:p>
      <w:pPr>
        <w:spacing w:after="80" w:before="80" w:line="480" w:lineRule="auto"/>
      </w:pPr>
      <w:r>
        <w:rPr>
          <w:rFonts w:ascii="Arial" w:cs="Arial" w:eastAsia="Arial" w:hAnsi="Arial"/>
          <w:sz w:val="24"/>
          <w:szCs w:val="24"/>
        </w:rPr>
        <w:t xml:space="preserve">Both methods sit on the asset/threat/likelihood structure used with ISO/IEC 27005:2018, and follow ISO 31000:2018's approach to quantitative risk (International Organization for Standardization, 2018a, 2018b).</w:t>
      </w:r>
    </w:p>
    <w:p>
      <w:pPr>
        <w:pStyle w:val="Heading2"/>
        <w:spacing w:after="80" w:before="160" w:line="480" w:lineRule="auto"/>
      </w:pPr>
      <w:r>
        <w:rPr>
          <w:rFonts w:ascii="Arial" w:cs="Arial" w:eastAsia="Arial" w:hAnsi="Arial"/>
          <w:b/>
          <w:bCs/>
          <w:sz w:val="24"/>
          <w:szCs w:val="24"/>
        </w:rPr>
        <w:t xml:space="preserve">2.2) Explanation of Calculations, Assumptions and Sources of Data</w:t>
      </w:r>
    </w:p>
    <w:p>
      <w:pPr>
        <w:spacing w:after="80" w:before="80" w:line="480" w:lineRule="auto"/>
      </w:pPr>
      <w:r>
        <w:rPr>
          <w:rFonts w:ascii="Arial" w:cs="Arial" w:eastAsia="Arial" w:hAnsi="Arial"/>
          <w:b/>
          <w:bCs/>
          <w:sz w:val="24"/>
          <w:szCs w:val="24"/>
        </w:rPr>
        <w:t xml:space="preserve">Quality risk (ALE calculation)</w:t>
      </w:r>
    </w:p>
    <w:p>
      <w:pPr>
        <w:spacing w:after="80" w:before="80" w:line="480" w:lineRule="auto"/>
      </w:pPr>
      <w:r>
        <w:rPr>
          <w:rFonts w:ascii="Arial" w:cs="Arial" w:eastAsia="Arial" w:hAnsi="Arial"/>
          <w:sz w:val="24"/>
          <w:szCs w:val="24"/>
        </w:rPr>
        <w:t xml:space="preserve">Pampered Pets has no history of international sourcing, so the figures below are reasoned assumptions, set against the "High" rating already given to this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13"/>
        <w:gridCol w:w="2613"/>
      </w:tblGrid>
      <w:tr>
        <w:tc>
          <w:tcPr>
            <w:tcW w:type="dxa" w:w="3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3213"/>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Assumption</w:t>
            </w:r>
          </w:p>
        </w:tc>
        <w:tc>
          <w:tcPr>
            <w:tcW w:type="dxa" w:w="2613"/>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Basis / Source</w:t>
            </w:r>
          </w:p>
        </w:tc>
      </w:tr>
      <w:tr>
        <w:tc>
          <w:tcPr>
            <w:tcW w:type="dxa" w:w="3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Asset Value (AV)</w:t>
            </w:r>
          </w:p>
        </w:tc>
        <w:tc>
          <w:tcPr>
            <w:tcW w:type="dxa" w:w="32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£2,400,000</w:t>
            </w:r>
          </w:p>
        </w:tc>
        <w:tc>
          <w:tcPr>
            <w:tcW w:type="dxa" w:w="26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Estimated annual turnover attributable to the premium, farm-verified brand position that supports the royal accounts</w:t>
            </w:r>
          </w:p>
        </w:tc>
      </w:tr>
      <w:tr>
        <w:tc>
          <w:tcPr>
            <w:tcW w:type="dxa" w:w="3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Exposure Factor (EF)</w:t>
            </w:r>
          </w:p>
        </w:tc>
        <w:tc>
          <w:tcPr>
            <w:tcW w:type="dxa" w:w="32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26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Assumed revenue loss following a serious quality incident (e.g. recall or loss of a flagship client)</w:t>
            </w:r>
          </w:p>
        </w:tc>
      </w:tr>
      <w:tr>
        <w:tc>
          <w:tcPr>
            <w:tcW w:type="dxa" w:w="3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SLE = AV × EF</w:t>
            </w:r>
          </w:p>
        </w:tc>
        <w:tc>
          <w:tcPr>
            <w:tcW w:type="dxa" w:w="32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£480,000</w:t>
            </w:r>
          </w:p>
        </w:tc>
        <w:tc>
          <w:tcPr>
            <w:tcW w:type="dxa" w:w="26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Sutton (2021)</w:t>
            </w:r>
          </w:p>
        </w:tc>
      </w:tr>
      <w:tr>
        <w:tc>
          <w:tcPr>
            <w:tcW w:type="dxa" w:w="3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ARO – unmitigated</w:t>
            </w:r>
          </w:p>
        </w:tc>
        <w:tc>
          <w:tcPr>
            <w:tcW w:type="dxa" w:w="32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w:t>
            </w:r>
          </w:p>
        </w:tc>
        <w:tc>
          <w:tcPr>
            <w:tcW w:type="dxa" w:w="26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Reflects loss of the 10-minute farm-verification control identified previously</w:t>
            </w:r>
          </w:p>
        </w:tc>
      </w:tr>
      <w:tr>
        <w:tc>
          <w:tcPr>
            <w:tcW w:type="dxa" w:w="3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ARO – with SLA + ISO 9001 vendor certification</w:t>
            </w:r>
          </w:p>
        </w:tc>
        <w:tc>
          <w:tcPr>
            <w:tcW w:type="dxa" w:w="32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0.15</w:t>
            </w:r>
          </w:p>
        </w:tc>
        <w:tc>
          <w:tcPr>
            <w:tcW w:type="dxa" w:w="2613"/>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Assumed effect of the mitigation in Section 3</w:t>
            </w:r>
          </w:p>
        </w:tc>
      </w:tr>
    </w:tbl>
    <w:p>
      <w:pPr>
        <w:spacing w:after="80" w:before="80" w:line="480" w:lineRule="auto"/>
      </w:pPr>
      <w:r>
        <w:rPr>
          <w:rFonts w:ascii="Arial" w:cs="Arial" w:eastAsia="Arial" w:hAnsi="Arial"/>
          <w:sz w:val="24"/>
          <w:szCs w:val="24"/>
        </w:rPr>
        <w:t xml:space="preserve"/>
      </w:r>
    </w:p>
    <w:p>
      <w:pPr>
        <w:spacing w:after="80" w:before="80" w:line="480" w:lineRule="auto"/>
      </w:pPr>
      <w:r>
        <w:rPr>
          <w:rFonts w:ascii="Arial" w:cs="Arial" w:eastAsia="Arial" w:hAnsi="Arial"/>
          <w:b/>
          <w:bCs/>
          <w:sz w:val="24"/>
          <w:szCs w:val="24"/>
        </w:rPr>
        <w:t xml:space="preserve">Supply chain risk (three-point / compound probability)</w:t>
      </w:r>
    </w:p>
    <w:p>
      <w:pPr>
        <w:spacing w:after="80" w:before="80" w:line="480" w:lineRule="auto"/>
      </w:pPr>
      <w:r>
        <w:rPr>
          <w:rFonts w:ascii="Arial" w:cs="Arial" w:eastAsia="Arial" w:hAnsi="Arial"/>
          <w:sz w:val="24"/>
          <w:szCs w:val="24"/>
        </w:rPr>
        <w:t xml:space="preserve">For each issue, an optimistic (O), most likely (M) and pessimistic (P) probability was estimated and combined using the PERT formula, (O + 4M + P) / 6 (Shevchenko et al., 2018), then combined assuming rough independence to give the chance of at least one disruption in a year:</w:t>
      </w:r>
    </w:p>
    <w:p>
      <w:pPr>
        <w:spacing w:after="80" w:before="80" w:line="480" w:lineRule="auto"/>
      </w:pPr>
      <w:r>
        <w:rPr>
          <w:rFonts w:ascii="Arial" w:cs="Arial" w:eastAsia="Arial" w:hAnsi="Arial"/>
          <w:i/>
          <w:iCs/>
          <w:sz w:val="24"/>
          <w:szCs w:val="24"/>
        </w:rPr>
        <w:t xml:space="preserve">P(at least one disruption) = 1 − ∏(1 − pᵢ)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c>
          <w:tcPr>
            <w:tcW w:type="dxa" w:w="24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Supply Chain Issue</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Optimistic</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Likely</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Pessimistic</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Weighted p</w:t>
            </w:r>
          </w:p>
        </w:tc>
        <w:tc>
          <w:tcPr>
            <w:tcW w:type="dxa" w:w="1426"/>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Rating</w:t>
            </w:r>
          </w:p>
        </w:tc>
      </w:tr>
      <w:tr>
        <w:tc>
          <w:tcPr>
            <w:tcW w:type="dxa" w:w="24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International customs / logistics delay</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46%</w:t>
            </w:r>
          </w:p>
        </w:tc>
        <w:tc>
          <w:tcPr>
            <w:tcW w:type="dxa" w:w="1426"/>
            <w:tcBorders>
              <w:top w:val="single" w:color="CCCCCC" w:sz="2"/>
              <w:left w:val="single" w:color="CCCCCC" w:sz="2"/>
              <w:bottom w:val="single" w:color="CCCCCC" w:sz="2"/>
              <w:right w:val="single" w:color="CCCCCC" w:sz="2"/>
            </w:tcBorders>
            <w:shd w:fill="F8CBA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High</w:t>
            </w:r>
          </w:p>
        </w:tc>
      </w:tr>
      <w:tr>
        <w:tc>
          <w:tcPr>
            <w:tcW w:type="dxa" w:w="24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Automated warehouse / robotics downtime</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w:t>
            </w:r>
          </w:p>
        </w:tc>
        <w:tc>
          <w:tcPr>
            <w:tcW w:type="dxa" w:w="1426"/>
            <w:tcBorders>
              <w:top w:val="single" w:color="CCCCCC" w:sz="2"/>
              <w:left w:val="single" w:color="CCCCCC" w:sz="2"/>
              <w:bottom w:val="single" w:color="CCCCCC" w:sz="2"/>
              <w:right w:val="single" w:color="CCCCCC" w:sz="2"/>
            </w:tcBorders>
            <w:shd w:fill="FCE4C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Medium-High</w:t>
            </w:r>
          </w:p>
        </w:tc>
      </w:tr>
      <w:tr>
        <w:tc>
          <w:tcPr>
            <w:tcW w:type="dxa" w:w="24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Single-supplier / regional concentration</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w:t>
            </w:r>
          </w:p>
        </w:tc>
        <w:tc>
          <w:tcPr>
            <w:tcW w:type="dxa" w:w="1426"/>
            <w:tcBorders>
              <w:top w:val="single" w:color="CCCCCC" w:sz="2"/>
              <w:left w:val="single" w:color="CCCCCC" w:sz="2"/>
              <w:bottom w:val="single" w:color="CCCCCC" w:sz="2"/>
              <w:right w:val="single" w:color="CCCCCC" w:sz="2"/>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Medium</w:t>
            </w:r>
          </w:p>
        </w:tc>
      </w:tr>
      <w:tr>
        <w:tc>
          <w:tcPr>
            <w:tcW w:type="dxa" w:w="24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Cyber-attack on warehouse OT / control systems</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w:t>
            </w:r>
          </w:p>
        </w:tc>
        <w:tc>
          <w:tcPr>
            <w:tcW w:type="dxa" w:w="1426"/>
            <w:tcBorders>
              <w:top w:val="single" w:color="CCCCCC" w:sz="2"/>
              <w:left w:val="single" w:color="CCCCCC" w:sz="2"/>
              <w:bottom w:val="single" w:color="CCCCCC" w:sz="2"/>
              <w:right w:val="single" w:color="CCCCCC" w:sz="2"/>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Medium</w:t>
            </w:r>
          </w:p>
        </w:tc>
      </w:tr>
      <w:tr>
        <w:tc>
          <w:tcPr>
            <w:tcW w:type="dxa" w:w="24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Geopolitical / tariff disruption</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w:t>
            </w:r>
          </w:p>
        </w:tc>
        <w:tc>
          <w:tcPr>
            <w:tcW w:type="dxa" w:w="13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w:t>
            </w:r>
          </w:p>
        </w:tc>
        <w:tc>
          <w:tcPr>
            <w:tcW w:type="dxa" w:w="1426"/>
            <w:tcBorders>
              <w:top w:val="single" w:color="CCCCCC" w:sz="2"/>
              <w:left w:val="single" w:color="CCCCCC" w:sz="2"/>
              <w:bottom w:val="single" w:color="CCCCCC" w:sz="2"/>
              <w:right w:val="single" w:color="CCCCCC" w:sz="2"/>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Low-Medium</w:t>
            </w:r>
          </w:p>
        </w:tc>
      </w:tr>
    </w:tbl>
    <w:p>
      <w:pPr>
        <w:pStyle w:val="Heading2"/>
        <w:spacing w:after="80" w:before="160" w:line="480" w:lineRule="auto"/>
      </w:pPr>
      <w:r>
        <w:rPr>
          <w:rFonts w:ascii="Arial" w:cs="Arial" w:eastAsia="Arial" w:hAnsi="Arial"/>
          <w:b/>
          <w:bCs/>
          <w:sz w:val="24"/>
          <w:szCs w:val="24"/>
        </w:rPr>
        <w:t xml:space="preserve">2.3) Results of the Quantitative Models</w:t>
      </w:r>
    </w:p>
    <w:p>
      <w:pPr>
        <w:pStyle w:val="ListParagraph"/>
        <w:numPr>
          <w:ilvl w:val="0"/>
          <w:numId w:val="2"/>
        </w:numPr>
        <w:spacing w:after="60" w:before="60" w:line="480" w:lineRule="auto"/>
      </w:pPr>
      <w:r>
        <w:rPr>
          <w:rFonts w:ascii="Arial" w:cs="Arial" w:eastAsia="Arial" w:hAnsi="Arial"/>
          <w:sz w:val="24"/>
          <w:szCs w:val="24"/>
        </w:rPr>
        <w:t xml:space="preserve">Quality risk: without any new controls, ALE = £192,000 a year (£480,000 × 0.4). With the mitigations in Section 3, this falls to £72,000 a year (£480,000 × 0.15) - a drop of 62.5%.</w:t>
      </w:r>
    </w:p>
    <w:p>
      <w:pPr>
        <w:spacing w:after="80" w:before="80" w:line="480" w:lineRule="auto"/>
      </w:pPr>
      <w:r>
        <w:rPr>
          <w:rFonts w:ascii="Arial" w:cs="Arial" w:eastAsia="Arial" w:hAnsi="Arial"/>
          <w:sz w:val="24"/>
          <w:szCs w:val="24"/>
        </w:rPr>
        <w:t xml:space="preserve">This shows that even a moderate chance of a quality incident carries a big financial cost. A single incident could undo years of brand-building with clients like HRH the King, so the business needs preventive quality assurance rather than reactive incident management (dealing with a recall only after it happens); spending on supplier audits before an incident is cheaper, in expected annual terms, than spending on recovery after one.</w:t>
      </w:r>
    </w:p>
    <w:p>
      <w:pPr>
        <w:pStyle w:val="ListParagraph"/>
        <w:numPr>
          <w:ilvl w:val="0"/>
          <w:numId w:val="2"/>
        </w:numPr>
        <w:spacing w:after="60" w:before="60" w:line="480" w:lineRule="auto"/>
      </w:pPr>
      <w:r>
        <w:rPr>
          <w:rFonts w:ascii="Arial" w:cs="Arial" w:eastAsia="Arial" w:hAnsi="Arial"/>
          <w:sz w:val="24"/>
          <w:szCs w:val="24"/>
        </w:rPr>
        <w:t xml:space="preserve">Supply chain risk: combining the five probabilities above gives P(at least one disruption) = 1 − (0.54 × 0.69 × 0.75 × 0.79 × 0.84) ≈ 81% a year without controls, falling to around 40% once the Section 3 mitigations are in place.</w:t>
      </w:r>
    </w:p>
    <w:p>
      <w:pPr>
        <w:spacing w:after="80" w:before="80" w:line="480" w:lineRule="auto"/>
      </w:pPr>
      <w:r>
        <w:rPr>
          <w:rFonts w:ascii="Arial" w:cs="Arial" w:eastAsia="Arial" w:hAnsi="Arial"/>
          <w:sz w:val="24"/>
          <w:szCs w:val="24"/>
        </w:rPr>
        <w:t xml:space="preserve">An 81% annual chance means disruption is close to certain, not a rare event, so Pampered Pets should plan stock, staffing and cash flow around the assumption that something will go wrong most years, matching wider findings that supply chain compromise is among the fastest-growing attack routes into a business (IBM, 2025; ENISA, 2025). Even after mitigation, a 40% residual chance remains, so these controls reduce the risk - they do not remove it - and the business should still hold contingency budget for the years mitigation is not enough.</w:t>
      </w:r>
    </w:p>
    <w:p>
      <w:pPr>
        <w:pStyle w:val="Heading2"/>
        <w:spacing w:after="80" w:before="160" w:line="480" w:lineRule="auto"/>
      </w:pPr>
      <w:r>
        <w:rPr>
          <w:rFonts w:ascii="Arial" w:cs="Arial" w:eastAsia="Arial" w:hAnsi="Arial"/>
          <w:b/>
          <w:bCs/>
          <w:sz w:val="24"/>
          <w:szCs w:val="24"/>
        </w:rPr>
        <w:t xml:space="preserve">2.4) Limitations of the Quantitative Approach</w:t>
      </w:r>
    </w:p>
    <w:p>
      <w:pPr>
        <w:spacing w:after="80" w:before="80" w:line="480" w:lineRule="auto"/>
      </w:pPr>
      <w:r>
        <w:rPr>
          <w:rFonts w:ascii="Arial" w:cs="Arial" w:eastAsia="Arial" w:hAnsi="Arial"/>
          <w:sz w:val="24"/>
          <w:szCs w:val="24"/>
        </w:rPr>
        <w:t xml:space="preserve">Every figure above is a reasoned assumption, not an observed average, since Pampered Pets has no international trading history to draw on. The compound probability calculation also assumes the five supply chain issues are independent of each other; in reality one event, such as a geopolitical disruption, could trigger a customs delay and a supplier problem together, so the real probability is likely a little lower than the simple calculation suggests. The ALE model has a similar weakness: it gives one expected annual figure but says nothing about how severe the worst-case year could be.</w:t>
      </w:r>
    </w:p>
    <w:p>
      <w:pPr>
        <w:pStyle w:val="Heading2"/>
        <w:spacing w:after="80" w:before="160" w:line="480" w:lineRule="auto"/>
      </w:pPr>
      <w:r>
        <w:rPr>
          <w:rFonts w:ascii="Arial" w:cs="Arial" w:eastAsia="Arial" w:hAnsi="Arial"/>
          <w:b/>
          <w:bCs/>
          <w:sz w:val="24"/>
          <w:szCs w:val="24"/>
        </w:rPr>
        <w:t xml:space="preserve">2.5) Future Improvements</w:t>
      </w:r>
    </w:p>
    <w:p>
      <w:pPr>
        <w:spacing w:after="80" w:before="80" w:line="480" w:lineRule="auto"/>
      </w:pPr>
      <w:r>
        <w:rPr>
          <w:rFonts w:ascii="Arial" w:cs="Arial" w:eastAsia="Arial" w:hAnsi="Arial"/>
          <w:sz w:val="24"/>
          <w:szCs w:val="24"/>
        </w:rPr>
        <w:t xml:space="preserve">Once trading internationally for a full year, these assumptions should be replaced with real figures on delays, downtime and quality incidents. A fuller Monte Carlo simulation, running thousands of scenarios instead of a single three-point estimate, could then replace the simplified model, and the independence assumption in Section 2.4 could be revisited using a correlation matrix once enough incident data exists. Aligning this work with the NIST Cybersecurity Framework 2.0's Govern function would embed it into ongoing governance rather than a one-off calculation (National Institute of Standards and Technology, 2024).</w:t>
      </w:r>
    </w:p>
    <w:p>
      <w:pPr>
        <w:pStyle w:val="Heading1"/>
        <w:spacing w:after="80" w:before="360" w:line="480" w:lineRule="auto"/>
      </w:pPr>
      <w:r>
        <w:rPr>
          <w:rFonts w:ascii="Arial" w:cs="Arial" w:eastAsia="Arial" w:hAnsi="Arial"/>
          <w:b/>
          <w:bCs/>
          <w:sz w:val="28"/>
          <w:szCs w:val="28"/>
        </w:rPr>
        <w:t xml:space="preserve">3. Summary of Results and Recommendations</w:t>
      </w:r>
    </w:p>
    <w:p>
      <w:pPr>
        <w:spacing w:after="80" w:before="80" w:line="480" w:lineRule="auto"/>
      </w:pPr>
      <w:r>
        <w:rPr>
          <w:rFonts w:ascii="Arial" w:cs="Arial" w:eastAsia="Arial" w:hAnsi="Arial"/>
          <w:sz w:val="24"/>
          <w:szCs w:val="24"/>
        </w:rPr>
        <w:t xml:space="preserve">Recommendations are listed in priority order against commercial needs; GDPR and other security standards are called out as mandatory requirements, not optional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26"/>
      </w:tblGrid>
      <w:tr>
        <w:tc>
          <w:tcPr>
            <w:tcW w:type="dxa" w:w="11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3726"/>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Benefit</w:t>
            </w:r>
          </w:p>
        </w:tc>
      </w:tr>
      <w:tr>
        <w:tc>
          <w:tcPr>
            <w:tcW w:type="dxa" w:w="1100"/>
            <w:tcBorders>
              <w:top w:val="single" w:color="CCCCCC" w:sz="2"/>
              <w:left w:val="single" w:color="CCCCCC" w:sz="2"/>
              <w:bottom w:val="single" w:color="CCCCCC" w:sz="2"/>
              <w:right w:val="single" w:color="CCCCCC" w:sz="2"/>
            </w:tcBorders>
            <w:shd w:fill="F8CBA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 (Highest)</w:t>
            </w:r>
          </w:p>
        </w:tc>
        <w:tc>
          <w:tcPr>
            <w:tcW w:type="dxa" w:w="4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Hybrid Supply Chain: international trade for non-perishable goods only; keep local farm-verified sourcing for ingredients; require ISO 9001 certification and independent supplier audits (International Organization for Standardization, 2015).</w:t>
            </w:r>
          </w:p>
        </w:tc>
        <w:tc>
          <w:tcPr>
            <w:tcW w:type="dxa" w:w="37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Cuts quality ALE from £192,000 to £72,000 a year; protects the two flagship royal accounts.</w:t>
            </w:r>
          </w:p>
        </w:tc>
      </w:tr>
      <w:tr>
        <w:tc>
          <w:tcPr>
            <w:tcW w:type="dxa" w:w="1100"/>
            <w:tcBorders>
              <w:top w:val="single" w:color="CCCCCC" w:sz="2"/>
              <w:left w:val="single" w:color="CCCCCC" w:sz="2"/>
              <w:bottom w:val="single" w:color="CCCCCC" w:sz="2"/>
              <w:right w:val="single" w:color="CCCCCC" w:sz="2"/>
            </w:tcBorders>
            <w:shd w:fill="F8CBA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 (Mandatory)</w:t>
            </w:r>
          </w:p>
        </w:tc>
        <w:tc>
          <w:tcPr>
            <w:tcW w:type="dxa" w:w="4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GDPR compliance: bind every warehouse platform, supplier and logistics partner handling EU/UK personal data to GDPR-equivalent clauses and Standard Contractual Clauses (European Union, 2016).</w:t>
            </w:r>
          </w:p>
        </w:tc>
        <w:tc>
          <w:tcPr>
            <w:tcW w:type="dxa" w:w="37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Avoids regulatory fines and reputational damage.</w:t>
            </w:r>
          </w:p>
        </w:tc>
      </w:tr>
      <w:tr>
        <w:tc>
          <w:tcPr>
            <w:tcW w:type="dxa" w:w="1100"/>
            <w:tcBorders>
              <w:top w:val="single" w:color="CCCCCC" w:sz="2"/>
              <w:left w:val="single" w:color="CCCCCC" w:sz="2"/>
              <w:bottom w:val="single" w:color="CCCCCC" w:sz="2"/>
              <w:right w:val="single" w:color="CCCCCC" w:sz="2"/>
            </w:tcBorders>
            <w:shd w:fill="FCE4C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 (High)</w:t>
            </w:r>
          </w:p>
        </w:tc>
        <w:tc>
          <w:tcPr>
            <w:tcW w:type="dxa" w:w="4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Segment warehouse OT from the corporate/e-commerce network with VLANs and a dedicated industrial firewall; enforce MFA/RBAC for remote vendor access.</w:t>
            </w:r>
          </w:p>
        </w:tc>
        <w:tc>
          <w:tcPr>
            <w:tcW w:type="dxa" w:w="37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Cuts the chance of a successful OT attack from 21% to below 8% a year.</w:t>
            </w:r>
          </w:p>
        </w:tc>
      </w:tr>
      <w:tr>
        <w:tc>
          <w:tcPr>
            <w:tcW w:type="dxa" w:w="1100"/>
            <w:tcBorders>
              <w:top w:val="single" w:color="CCCCCC" w:sz="2"/>
              <w:left w:val="single" w:color="CCCCCC" w:sz="2"/>
              <w:bottom w:val="single" w:color="CCCCCC" w:sz="2"/>
              <w:right w:val="single" w:color="CCCCCC" w:sz="2"/>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 (Medium)</w:t>
            </w:r>
          </w:p>
        </w:tc>
        <w:tc>
          <w:tcPr>
            <w:tcW w:type="dxa" w:w="4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Diversify suppliers across at least two geographic regions for critical warehouse components and ingredients.</w:t>
            </w:r>
          </w:p>
        </w:tc>
        <w:tc>
          <w:tcPr>
            <w:tcW w:type="dxa" w:w="37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Cuts single-supplier concentration risk from 25% to around 10%.</w:t>
            </w:r>
          </w:p>
        </w:tc>
      </w:tr>
      <w:tr>
        <w:tc>
          <w:tcPr>
            <w:tcW w:type="dxa" w:w="1100"/>
            <w:tcBorders>
              <w:top w:val="single" w:color="CCCCCC" w:sz="2"/>
              <w:left w:val="single" w:color="CCCCCC" w:sz="2"/>
              <w:bottom w:val="single" w:color="CCCCCC" w:sz="2"/>
              <w:right w:val="single" w:color="CCCCCC" w:sz="2"/>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 (Medium)</w:t>
            </w:r>
          </w:p>
        </w:tc>
        <w:tc>
          <w:tcPr>
            <w:tcW w:type="dxa" w:w="4200"/>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Negotiate logistics SLA penalty clauses; keep buffer stock for the highest-value product lines.</w:t>
            </w:r>
          </w:p>
        </w:tc>
        <w:tc>
          <w:tcPr>
            <w:tcW w:type="dxa" w:w="3726"/>
            <w:tcBorders>
              <w:top w:val="single" w:color="CCCCCC" w:sz="2"/>
              <w:left w:val="single" w:color="CCCCCC" w:sz="2"/>
              <w:bottom w:val="single" w:color="CCCCCC" w:sz="2"/>
              <w:right w:val="single" w:color="CCCCCC" w:sz="2"/>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Offsets the remaining 46% chance of shipment delay.</w:t>
            </w:r>
          </w:p>
        </w:tc>
      </w:tr>
    </w:tbl>
    <w:p>
      <w:pPr>
        <w:pStyle w:val="Heading2"/>
        <w:spacing w:after="80" w:before="160" w:line="480" w:lineRule="auto"/>
      </w:pPr>
      <w:r>
        <w:rPr>
          <w:rFonts w:ascii="Arial" w:cs="Arial" w:eastAsia="Arial" w:hAnsi="Arial"/>
          <w:b/>
          <w:bCs/>
          <w:sz w:val="24"/>
          <w:szCs w:val="24"/>
        </w:rPr>
        <w:t xml:space="preserve">3.1) Expected Business Benefits</w:t>
      </w:r>
    </w:p>
    <w:p>
      <w:pPr>
        <w:spacing w:after="80" w:before="80" w:line="480" w:lineRule="auto"/>
      </w:pPr>
      <w:r>
        <w:rPr>
          <w:rFonts w:ascii="Arial" w:cs="Arial" w:eastAsia="Arial" w:hAnsi="Arial"/>
          <w:sz w:val="24"/>
          <w:szCs w:val="24"/>
        </w:rPr>
        <w:t xml:space="preserve">Taken together, the recommendations above are expected to deliver:</w:t>
      </w:r>
    </w:p>
    <w:p>
      <w:pPr>
        <w:pStyle w:val="ListParagraph"/>
        <w:numPr>
          <w:ilvl w:val="0"/>
          <w:numId w:val="2"/>
        </w:numPr>
        <w:spacing w:after="60" w:before="60" w:line="480" w:lineRule="auto"/>
      </w:pPr>
      <w:r>
        <w:rPr>
          <w:rFonts w:ascii="Arial" w:cs="Arial" w:eastAsia="Arial" w:hAnsi="Arial"/>
          <w:sz w:val="24"/>
          <w:szCs w:val="24"/>
        </w:rPr>
        <w:t xml:space="preserve">Reduced downtime, through OT segmentation and the DR strategy in Section 4.</w:t>
      </w:r>
    </w:p>
    <w:p>
      <w:pPr>
        <w:pStyle w:val="ListParagraph"/>
        <w:numPr>
          <w:ilvl w:val="0"/>
          <w:numId w:val="2"/>
        </w:numPr>
        <w:spacing w:after="60" w:before="60" w:line="480" w:lineRule="auto"/>
      </w:pPr>
      <w:r>
        <w:rPr>
          <w:rFonts w:ascii="Arial" w:cs="Arial" w:eastAsia="Arial" w:hAnsi="Arial"/>
          <w:sz w:val="24"/>
          <w:szCs w:val="24"/>
        </w:rPr>
        <w:t xml:space="preserve">Increased customer confidence, especially from clients like HRH the King and Prince Albert II.</w:t>
      </w:r>
    </w:p>
    <w:p>
      <w:pPr>
        <w:pStyle w:val="ListParagraph"/>
        <w:numPr>
          <w:ilvl w:val="0"/>
          <w:numId w:val="2"/>
        </w:numPr>
        <w:spacing w:after="60" w:before="60" w:line="480" w:lineRule="auto"/>
      </w:pPr>
      <w:r>
        <w:rPr>
          <w:rFonts w:ascii="Arial" w:cs="Arial" w:eastAsia="Arial" w:hAnsi="Arial"/>
          <w:sz w:val="24"/>
          <w:szCs w:val="24"/>
        </w:rPr>
        <w:t xml:space="preserve">Improved regulatory compliance, by treating GDPR as mandatory rather than optional.</w:t>
      </w:r>
    </w:p>
    <w:p>
      <w:pPr>
        <w:pStyle w:val="ListParagraph"/>
        <w:numPr>
          <w:ilvl w:val="0"/>
          <w:numId w:val="2"/>
        </w:numPr>
        <w:spacing w:after="60" w:before="60" w:line="480" w:lineRule="auto"/>
      </w:pPr>
      <w:r>
        <w:rPr>
          <w:rFonts w:ascii="Arial" w:cs="Arial" w:eastAsia="Arial" w:hAnsi="Arial"/>
          <w:sz w:val="24"/>
          <w:szCs w:val="24"/>
        </w:rPr>
        <w:t xml:space="preserve">Lower operational risk, through supplier diversification and the Hybrid Supply Chain.</w:t>
      </w:r>
    </w:p>
    <w:p>
      <w:pPr>
        <w:pStyle w:val="ListParagraph"/>
        <w:numPr>
          <w:ilvl w:val="0"/>
          <w:numId w:val="2"/>
        </w:numPr>
        <w:spacing w:after="60" w:before="60" w:line="480" w:lineRule="auto"/>
      </w:pPr>
      <w:r>
        <w:rPr>
          <w:rFonts w:ascii="Arial" w:cs="Arial" w:eastAsia="Arial" w:hAnsi="Arial"/>
          <w:sz w:val="24"/>
          <w:szCs w:val="24"/>
        </w:rPr>
        <w:t xml:space="preserve">Better supplier resilience, through dual-sourcing across more than one region.</w:t>
      </w:r>
    </w:p>
    <w:p>
      <w:pPr>
        <w:pStyle w:val="Heading1"/>
        <w:spacing w:after="80" w:before="360" w:line="480" w:lineRule="auto"/>
      </w:pPr>
      <w:r>
        <w:rPr>
          <w:rFonts w:ascii="Arial" w:cs="Arial" w:eastAsia="Arial" w:hAnsi="Arial"/>
          <w:b/>
          <w:bCs/>
          <w:sz w:val="28"/>
          <w:szCs w:val="28"/>
        </w:rPr>
        <w:t xml:space="preserve">4. Business Continuity / Disaster Recovery (DR) Strategy</w:t>
      </w:r>
    </w:p>
    <w:p>
      <w:pPr>
        <w:pStyle w:val="Heading2"/>
        <w:spacing w:after="80" w:before="160" w:line="480" w:lineRule="auto"/>
      </w:pPr>
      <w:r>
        <w:rPr>
          <w:rFonts w:ascii="Arial" w:cs="Arial" w:eastAsia="Arial" w:hAnsi="Arial"/>
          <w:b/>
          <w:bCs/>
          <w:sz w:val="24"/>
          <w:szCs w:val="24"/>
        </w:rPr>
        <w:t xml:space="preserve">4.1) Requirement Interpretation</w:t>
      </w:r>
    </w:p>
    <w:p>
      <w:pPr>
        <w:spacing w:after="80" w:before="80" w:line="480" w:lineRule="auto"/>
      </w:pPr>
      <w:r>
        <w:rPr>
          <w:rFonts w:ascii="Arial" w:cs="Arial" w:eastAsia="Arial" w:hAnsi="Arial"/>
          <w:sz w:val="24"/>
          <w:szCs w:val="24"/>
        </w:rPr>
        <w:t xml:space="preserve">Orla O'dour wants the shop available 24/7/365, with a changeover window (RTO) under one minute if DR needs to be invoked, and no more than one minute of data loss (RPO). Working out how much downtime and data loss the business can tolerate before choosing a technical solution mirrors the business impact analysis logic in NIST's contingency planning guidance (National Institute of Standards and Technology, 2010). Both figures this low are only realistic with an active-active design: active-passive failover still needs a manual promotion step, usually giving an RTO of several minutes, and backup-and-restore can lose hours of data rather than seconds (Amazon Web Services, 2024; Redis, 2026).</w:t>
      </w:r>
    </w:p>
    <w:p>
      <w:pPr>
        <w:pStyle w:val="Heading2"/>
        <w:spacing w:after="80" w:before="160" w:line="480" w:lineRule="auto"/>
      </w:pPr>
      <w:r>
        <w:rPr>
          <w:rFonts w:ascii="Arial" w:cs="Arial" w:eastAsia="Arial" w:hAnsi="Arial"/>
          <w:b/>
          <w:bCs/>
          <w:sz w:val="24"/>
          <w:szCs w:val="24"/>
        </w:rPr>
        <w:t xml:space="preserve">4.2) Recommended Architecture</w:t>
      </w:r>
    </w:p>
    <w:p>
      <w:pPr>
        <w:pStyle w:val="ListParagraph"/>
        <w:numPr>
          <w:ilvl w:val="0"/>
          <w:numId w:val="2"/>
        </w:numPr>
        <w:spacing w:after="60" w:before="60" w:line="480" w:lineRule="auto"/>
      </w:pPr>
      <w:r>
        <w:rPr>
          <w:rFonts w:ascii="Arial" w:cs="Arial" w:eastAsia="Arial" w:hAnsi="Arial"/>
          <w:sz w:val="24"/>
          <w:szCs w:val="24"/>
        </w:rPr>
        <w:t xml:space="preserve">Two or more regions run the e-commerce site and Cloud ERP at the same time, so if one region fails the other keeps serving customers without a promotion delay - giving an RTO close to zero (Amazon Web Services, 2024).</w:t>
      </w:r>
    </w:p>
    <w:p>
      <w:pPr>
        <w:pStyle w:val="ListParagraph"/>
        <w:numPr>
          <w:ilvl w:val="0"/>
          <w:numId w:val="2"/>
        </w:numPr>
        <w:spacing w:after="60" w:before="60" w:line="480" w:lineRule="auto"/>
      </w:pPr>
      <w:r>
        <w:rPr>
          <w:rFonts w:ascii="Arial" w:cs="Arial" w:eastAsia="Arial" w:hAnsi="Arial"/>
          <w:sz w:val="24"/>
          <w:szCs w:val="24"/>
        </w:rPr>
        <w:t xml:space="preserve">A managed database with synchronous, or near-synchronous, replication - for example Azure SQL Auto-Failover Groups - is needed to keep RPO under one minute; asynchronous replication with a multi-minute lag is not good enough (Microsoft, 2026; Redis, 2026).</w:t>
      </w:r>
    </w:p>
    <w:p>
      <w:pPr>
        <w:pStyle w:val="ListParagraph"/>
        <w:numPr>
          <w:ilvl w:val="0"/>
          <w:numId w:val="2"/>
        </w:numPr>
        <w:spacing w:after="60" w:before="60" w:line="480" w:lineRule="auto"/>
      </w:pPr>
      <w:r>
        <w:rPr>
          <w:rFonts w:ascii="Arial" w:cs="Arial" w:eastAsia="Arial" w:hAnsi="Arial"/>
          <w:sz w:val="24"/>
          <w:szCs w:val="24"/>
        </w:rPr>
        <w:t xml:space="preserve">A global load balancer should send traffic to whichever region is healthy, working with the Cloud WAF already recommended, so 24/7/365 is met without manual intervention.</w:t>
      </w:r>
    </w:p>
    <w:p>
      <w:pPr>
        <w:pStyle w:val="Heading2"/>
        <w:spacing w:after="80" w:before="160" w:line="480" w:lineRule="auto"/>
      </w:pPr>
      <w:r>
        <w:rPr>
          <w:rFonts w:ascii="Arial" w:cs="Arial" w:eastAsia="Arial" w:hAnsi="Arial"/>
          <w:b/>
          <w:bCs/>
          <w:sz w:val="24"/>
          <w:szCs w:val="24"/>
        </w:rPr>
        <w:t xml:space="preserve">4.3) Platform Recommendation</w:t>
      </w:r>
    </w:p>
    <w:p>
      <w:pPr>
        <w:spacing w:after="80" w:before="80" w:line="480" w:lineRule="auto"/>
      </w:pPr>
      <w:r>
        <w:rPr>
          <w:rFonts w:ascii="Arial" w:cs="Arial" w:eastAsia="Arial" w:hAnsi="Arial"/>
          <w:sz w:val="24"/>
          <w:szCs w:val="24"/>
        </w:rPr>
        <w:t xml:space="preserve">A single, established cloud provider (Microsoft Azure, or an equivalent AWS-class provider) with native multi-region active-active and auto-failover services is recommended over a custom build, removing most of the difficulty of running this in-house (Amazon Web Services, 2024).</w:t>
      </w:r>
    </w:p>
    <w:p>
      <w:pPr>
        <w:pStyle w:val="Heading2"/>
        <w:spacing w:after="80" w:before="160" w:line="480" w:lineRule="auto"/>
      </w:pPr>
      <w:r>
        <w:rPr>
          <w:rFonts w:ascii="Arial" w:cs="Arial" w:eastAsia="Arial" w:hAnsi="Arial"/>
          <w:b/>
          <w:bCs/>
          <w:sz w:val="24"/>
          <w:szCs w:val="24"/>
        </w:rPr>
        <w:t xml:space="preserve">4.4) Vendor Lock-In Advice</w:t>
      </w:r>
    </w:p>
    <w:p>
      <w:pPr>
        <w:spacing w:after="80" w:before="80" w:line="480" w:lineRule="auto"/>
      </w:pPr>
      <w:r>
        <w:rPr>
          <w:rFonts w:ascii="Arial" w:cs="Arial" w:eastAsia="Arial" w:hAnsi="Arial"/>
          <w:sz w:val="24"/>
          <w:szCs w:val="24"/>
        </w:rPr>
        <w:t xml:space="preserve">Using one provider's own replication technology to hit sub-one-minute RPO/RTO creates some lock-in, since this feature does not move easily between providers (CloudAtler, 2026). This is acceptable for the data layer, but lock-in should be minimised elsewhere:</w:t>
      </w:r>
    </w:p>
    <w:p>
      <w:pPr>
        <w:pStyle w:val="ListParagraph"/>
        <w:numPr>
          <w:ilvl w:val="0"/>
          <w:numId w:val="2"/>
        </w:numPr>
        <w:spacing w:after="60" w:before="60" w:line="480" w:lineRule="auto"/>
      </w:pPr>
      <w:r>
        <w:rPr>
          <w:rFonts w:ascii="Arial" w:cs="Arial" w:eastAsia="Arial" w:hAnsi="Arial"/>
          <w:sz w:val="24"/>
          <w:szCs w:val="24"/>
        </w:rPr>
        <w:t xml:space="preserve">Containerise the e-commerce and ERP layers (Kubernetes) so the compute layer stays portable.</w:t>
      </w:r>
    </w:p>
    <w:p>
      <w:pPr>
        <w:pStyle w:val="ListParagraph"/>
        <w:numPr>
          <w:ilvl w:val="0"/>
          <w:numId w:val="2"/>
        </w:numPr>
        <w:spacing w:after="60" w:before="60" w:line="480" w:lineRule="auto"/>
      </w:pPr>
      <w:r>
        <w:rPr>
          <w:rFonts w:ascii="Arial" w:cs="Arial" w:eastAsia="Arial" w:hAnsi="Arial"/>
          <w:sz w:val="24"/>
          <w:szCs w:val="24"/>
        </w:rPr>
        <w:t xml:space="preserve">Use Infrastructure-as-Code (e.g. Terraform) so there is always a documented exit plan.</w:t>
      </w:r>
    </w:p>
    <w:p>
      <w:pPr>
        <w:pStyle w:val="ListParagraph"/>
        <w:numPr>
          <w:ilvl w:val="0"/>
          <w:numId w:val="2"/>
        </w:numPr>
        <w:spacing w:after="60" w:before="60" w:line="480" w:lineRule="auto"/>
      </w:pPr>
      <w:r>
        <w:rPr>
          <w:rFonts w:ascii="Arial" w:cs="Arial" w:eastAsia="Arial" w:hAnsi="Arial"/>
          <w:sz w:val="24"/>
          <w:szCs w:val="24"/>
        </w:rPr>
        <w:t xml:space="preserve">Keep an independent, provider-agnostic backup of critical data outside the main platform.</w:t>
      </w:r>
    </w:p>
    <w:p>
      <w:pPr>
        <w:pStyle w:val="ListParagraph"/>
        <w:numPr>
          <w:ilvl w:val="0"/>
          <w:numId w:val="2"/>
        </w:numPr>
        <w:spacing w:after="60" w:before="60" w:line="480" w:lineRule="auto"/>
      </w:pPr>
      <w:r>
        <w:rPr>
          <w:rFonts w:ascii="Arial" w:cs="Arial" w:eastAsia="Arial" w:hAnsi="Arial"/>
          <w:sz w:val="24"/>
          <w:szCs w:val="24"/>
        </w:rPr>
        <w:t xml:space="preserve">Review the vendor contract regularly and ensure it includes a right to export data.</w:t>
      </w:r>
    </w:p>
    <w:p>
      <w:pPr>
        <w:pStyle w:val="Heading1"/>
        <w:spacing w:after="80" w:before="360" w:line="480" w:lineRule="auto"/>
      </w:pPr>
      <w:r>
        <w:rPr>
          <w:rFonts w:ascii="Arial" w:cs="Arial" w:eastAsia="Arial" w:hAnsi="Arial"/>
          <w:b/>
          <w:bCs/>
          <w:sz w:val="28"/>
          <w:szCs w:val="28"/>
        </w:rPr>
        <w:t xml:space="preserve">5. Conclusion</w:t>
      </w:r>
    </w:p>
    <w:p>
      <w:pPr>
        <w:spacing w:after="80" w:before="80" w:line="480" w:lineRule="auto"/>
      </w:pPr>
      <w:r>
        <w:rPr>
          <w:rFonts w:ascii="Arial" w:cs="Arial" w:eastAsia="Arial" w:hAnsi="Arial"/>
          <w:sz w:val="24"/>
          <w:szCs w:val="24"/>
        </w:rPr>
        <w:t xml:space="preserve">This report quantified two concerns raised by HRH the King and Prince Albert II - risk to product quality and to the supply chain - as Pampered Pets carries out its digital transformation. Looking at four themes together shows why the Section 3 recommendations work as a set, not as a pick-and-choose list.</w:t>
      </w:r>
    </w:p>
    <w:p>
      <w:pPr>
        <w:spacing w:after="80" w:before="80" w:line="480" w:lineRule="auto"/>
      </w:pPr>
      <w:r>
        <w:rPr>
          <w:rFonts w:ascii="Arial" w:cs="Arial" w:eastAsia="Arial" w:hAnsi="Arial"/>
          <w:b/>
          <w:bCs/>
          <w:sz w:val="24"/>
          <w:szCs w:val="24"/>
        </w:rPr>
        <w:t xml:space="preserve">Digital Transformation</w:t>
      </w:r>
    </w:p>
    <w:p>
      <w:pPr>
        <w:spacing w:after="80" w:before="80" w:line="480" w:lineRule="auto"/>
      </w:pPr>
      <w:r>
        <w:rPr>
          <w:rFonts w:ascii="Arial" w:cs="Arial" w:eastAsia="Arial" w:hAnsi="Arial"/>
          <w:sz w:val="24"/>
          <w:szCs w:val="24"/>
        </w:rPr>
        <w:t xml:space="preserve">The move to an international supply chain and automated warehouses created both the growth opportunity (national and global sales, lower procurement costs) and the new risks quantified here. The Hybrid Supply Chain compromise reached earlier remains the right balance: it keeps the cost savings from international trade while protecting the farm-verified sourcing that the brand's reputation, and the two royal accounts, depend on. Digitalisation should continue, but alongside these controls, not instead of them.</w:t>
      </w:r>
    </w:p>
    <w:p>
      <w:pPr>
        <w:spacing w:after="80" w:before="80" w:line="480" w:lineRule="auto"/>
      </w:pPr>
      <w:r>
        <w:rPr>
          <w:rFonts w:ascii="Arial" w:cs="Arial" w:eastAsia="Arial" w:hAnsi="Arial"/>
          <w:b/>
          <w:bCs/>
          <w:sz w:val="24"/>
          <w:szCs w:val="24"/>
        </w:rPr>
        <w:t xml:space="preserve">Business Continuity</w:t>
      </w:r>
    </w:p>
    <w:p>
      <w:pPr>
        <w:spacing w:after="80" w:before="80" w:line="480" w:lineRule="auto"/>
      </w:pPr>
      <w:r>
        <w:rPr>
          <w:rFonts w:ascii="Arial" w:cs="Arial" w:eastAsia="Arial" w:hAnsi="Arial"/>
          <w:sz w:val="24"/>
          <w:szCs w:val="24"/>
        </w:rPr>
        <w:t xml:space="preserve">The DR strategy in Section 4 matters commercially, not just technically. An e-commerce platform unable to guarantee 24/7/365 availability, with the sub-one-minute RTO and RPO Orla O'dour has asked for, would put the whole growth strategy at risk during even a short outage. The active-active architecture recommended here, and the accepted trade-off on vendor lock-in, give a realistic way to meet that requirement.</w:t>
      </w:r>
    </w:p>
    <w:p>
      <w:pPr>
        <w:spacing w:after="80" w:before="80" w:line="480" w:lineRule="auto"/>
      </w:pPr>
      <w:r>
        <w:rPr>
          <w:rFonts w:ascii="Arial" w:cs="Arial" w:eastAsia="Arial" w:hAnsi="Arial"/>
          <w:b/>
          <w:bCs/>
          <w:sz w:val="24"/>
          <w:szCs w:val="24"/>
        </w:rPr>
        <w:t xml:space="preserve">Cyber Resilience</w:t>
      </w:r>
    </w:p>
    <w:p>
      <w:pPr>
        <w:spacing w:after="80" w:before="80" w:line="480" w:lineRule="auto"/>
      </w:pPr>
      <w:r>
        <w:rPr>
          <w:rFonts w:ascii="Arial" w:cs="Arial" w:eastAsia="Arial" w:hAnsi="Arial"/>
          <w:sz w:val="24"/>
          <w:szCs w:val="24"/>
        </w:rPr>
        <w:t xml:space="preserve">The 81% annual probability of at least one supply chain disruption, and the £192,000 a year quality exposure, both point the same way: Pampered Pets should plan for disruption as normal, in line with wider threat data from ENISA (2025) and IBM (2025). OT segmentation, MFA/RBAC and the SIEM platform already recommended all help, but none of them removes the risk completely, so monitoring matters as much as the initial build.</w:t>
      </w:r>
    </w:p>
    <w:p>
      <w:pPr>
        <w:spacing w:after="80" w:before="80" w:line="480" w:lineRule="auto"/>
      </w:pPr>
      <w:r>
        <w:rPr>
          <w:rFonts w:ascii="Arial" w:cs="Arial" w:eastAsia="Arial" w:hAnsi="Arial"/>
          <w:b/>
          <w:bCs/>
          <w:sz w:val="24"/>
          <w:szCs w:val="24"/>
        </w:rPr>
        <w:t xml:space="preserve">Governance</w:t>
      </w:r>
    </w:p>
    <w:p>
      <w:pPr>
        <w:spacing w:after="80" w:before="80" w:line="480" w:lineRule="auto"/>
      </w:pPr>
      <w:r>
        <w:rPr>
          <w:rFonts w:ascii="Arial" w:cs="Arial" w:eastAsia="Arial" w:hAnsi="Arial"/>
          <w:sz w:val="24"/>
          <w:szCs w:val="24"/>
        </w:rPr>
        <w:t xml:space="preserve">Finally, these figures are only useful if Cathy and Orla O'dour keep reviewing them. Treating this quantitative model as a living part of governance, in line with the Govern function in the NIST Cybersecurity Framework 2.0 (National Institute of Standards and Technology, 2024), means revisiting the assumptions yearly and keeping the DR strategy tested, not just written down. With the recommended controls, both figures fall substantially, giving a clear, evidence-based basis for approving the rest of the digitalisation budget.</w:t>
      </w:r>
    </w:p>
    <w:p>
      <w:pPr>
        <w:pageBreakBefore/>
      </w:pPr>
    </w:p>
    <w:p>
      <w:pPr>
        <w:pStyle w:val="Heading1"/>
        <w:spacing w:after="80" w:before="360" w:line="480" w:lineRule="auto"/>
      </w:pPr>
      <w:r>
        <w:rPr>
          <w:rFonts w:ascii="Arial" w:cs="Arial" w:eastAsia="Arial" w:hAnsi="Arial"/>
          <w:b/>
          <w:bCs/>
          <w:sz w:val="28"/>
          <w:szCs w:val="28"/>
        </w:rPr>
        <w:t xml:space="preserve">6. References</w:t>
      </w:r>
    </w:p>
    <w:p>
      <w:pPr>
        <w:spacing w:after="120" w:before="80" w:line="480" w:lineRule="auto"/>
        <w:ind w:left="420" w:hanging="420"/>
      </w:pPr>
      <w:r>
        <w:rPr>
          <w:rFonts w:ascii="Arial" w:cs="Arial" w:eastAsia="Arial" w:hAnsi="Arial"/>
          <w:i w:val="false"/>
          <w:iCs w:val="false"/>
          <w:sz w:val="24"/>
          <w:szCs w:val="24"/>
        </w:rPr>
        <w:t xml:space="preserve">Amazon Web Services (2024) </w:t>
      </w:r>
      <w:r>
        <w:rPr>
          <w:rFonts w:ascii="Arial" w:cs="Arial" w:eastAsia="Arial" w:hAnsi="Arial"/>
          <w:i/>
          <w:iCs/>
          <w:sz w:val="24"/>
          <w:szCs w:val="24"/>
        </w:rPr>
        <w:t xml:space="preserve">Disaster recovery (DR) architecture on AWS, Part IV: Multi-site active/active.</w:t>
      </w:r>
      <w:r>
        <w:rPr>
          <w:rFonts w:ascii="Arial" w:cs="Arial" w:eastAsia="Arial" w:hAnsi="Arial"/>
          <w:i w:val="false"/>
          <w:iCs w:val="false"/>
          <w:sz w:val="24"/>
          <w:szCs w:val="24"/>
        </w:rPr>
        <w:t xml:space="preserve"> Available at: https://aws.amazon.com/blogs/architecture/disaster-recovery-dr-architecture-on-aws-part-iv-multi-site-active-active/ (Accessed: 9 July 2026).</w:t>
      </w:r>
    </w:p>
    <w:p>
      <w:pPr>
        <w:spacing w:after="120" w:before="80" w:line="480" w:lineRule="auto"/>
        <w:ind w:left="420" w:hanging="420"/>
      </w:pPr>
      <w:r>
        <w:rPr>
          <w:rFonts w:ascii="Arial" w:cs="Arial" w:eastAsia="Arial" w:hAnsi="Arial"/>
          <w:i w:val="false"/>
          <w:iCs w:val="false"/>
          <w:sz w:val="24"/>
          <w:szCs w:val="24"/>
        </w:rPr>
        <w:t xml:space="preserve">CloudAtler (2026) </w:t>
      </w:r>
      <w:r>
        <w:rPr>
          <w:rFonts w:ascii="Arial" w:cs="Arial" w:eastAsia="Arial" w:hAnsi="Arial"/>
          <w:i/>
          <w:iCs/>
          <w:sz w:val="24"/>
          <w:szCs w:val="24"/>
        </w:rPr>
        <w:t xml:space="preserve">Vendor lock-in mitigation strategies for modern enterprises.</w:t>
      </w:r>
      <w:r>
        <w:rPr>
          <w:rFonts w:ascii="Arial" w:cs="Arial" w:eastAsia="Arial" w:hAnsi="Arial"/>
          <w:i w:val="false"/>
          <w:iCs w:val="false"/>
          <w:sz w:val="24"/>
          <w:szCs w:val="24"/>
        </w:rPr>
        <w:t xml:space="preserve"> Available at: https://cloudatler.com/blog/vendor-lock-in-mitigation-strategies-for-modern-enterprises (Accessed: 9 July 2026).</w:t>
      </w:r>
    </w:p>
    <w:p>
      <w:pPr>
        <w:spacing w:after="120" w:before="80" w:line="480" w:lineRule="auto"/>
        <w:ind w:left="420" w:hanging="420"/>
      </w:pPr>
      <w:r>
        <w:rPr>
          <w:rFonts w:ascii="Arial" w:cs="Arial" w:eastAsia="Arial" w:hAnsi="Arial"/>
          <w:i w:val="false"/>
          <w:iCs w:val="false"/>
          <w:sz w:val="24"/>
          <w:szCs w:val="24"/>
        </w:rPr>
        <w:t xml:space="preserve">ENISA (2025) </w:t>
      </w:r>
      <w:r>
        <w:rPr>
          <w:rFonts w:ascii="Arial" w:cs="Arial" w:eastAsia="Arial" w:hAnsi="Arial"/>
          <w:i/>
          <w:iCs/>
          <w:sz w:val="24"/>
          <w:szCs w:val="24"/>
        </w:rPr>
        <w:t xml:space="preserve">ENISA Threat Landscape 2025.</w:t>
      </w:r>
      <w:r>
        <w:rPr>
          <w:rFonts w:ascii="Arial" w:cs="Arial" w:eastAsia="Arial" w:hAnsi="Arial"/>
          <w:i w:val="false"/>
          <w:iCs w:val="false"/>
          <w:sz w:val="24"/>
          <w:szCs w:val="24"/>
        </w:rPr>
        <w:t xml:space="preserve"> Athens: European Union Agency for Cybersecurity. Available at: https://www.enisa.europa.eu/publications/enisa-threat-landscape-2025 (Accessed: 9 July 2026).</w:t>
      </w:r>
    </w:p>
    <w:p>
      <w:pPr>
        <w:spacing w:after="120" w:before="80" w:line="480" w:lineRule="auto"/>
        <w:ind w:left="420" w:hanging="420"/>
      </w:pPr>
      <w:r>
        <w:rPr>
          <w:rFonts w:ascii="Arial" w:cs="Arial" w:eastAsia="Arial" w:hAnsi="Arial"/>
          <w:i w:val="false"/>
          <w:iCs w:val="false"/>
          <w:sz w:val="24"/>
          <w:szCs w:val="24"/>
        </w:rPr>
        <w:t xml:space="preserve">European Union (2016) </w:t>
      </w:r>
      <w:r>
        <w:rPr>
          <w:rFonts w:ascii="Arial" w:cs="Arial" w:eastAsia="Arial" w:hAnsi="Arial"/>
          <w:i/>
          <w:iCs/>
          <w:sz w:val="24"/>
          <w:szCs w:val="24"/>
        </w:rPr>
        <w:t xml:space="preserve">Regulation (EU) 2016/679 of the European Parliament and of the Council of 27 April 2016 (General Data Protection Regulation).</w:t>
      </w:r>
      <w:r>
        <w:rPr>
          <w:rFonts w:ascii="Arial" w:cs="Arial" w:eastAsia="Arial" w:hAnsi="Arial"/>
          <w:i w:val="false"/>
          <w:iCs w:val="false"/>
          <w:sz w:val="24"/>
          <w:szCs w:val="24"/>
        </w:rPr>
        <w:t xml:space="preserve"> Official Journal of the European Union, L119/1.</w:t>
      </w:r>
    </w:p>
    <w:p>
      <w:pPr>
        <w:spacing w:after="120" w:before="80" w:line="480" w:lineRule="auto"/>
        <w:ind w:left="420" w:hanging="420"/>
      </w:pPr>
      <w:r>
        <w:rPr>
          <w:rFonts w:ascii="Arial" w:cs="Arial" w:eastAsia="Arial" w:hAnsi="Arial"/>
          <w:i w:val="false"/>
          <w:iCs w:val="false"/>
          <w:sz w:val="24"/>
          <w:szCs w:val="24"/>
        </w:rPr>
        <w:t xml:space="preserve">IBM (2025) </w:t>
      </w:r>
      <w:r>
        <w:rPr>
          <w:rFonts w:ascii="Arial" w:cs="Arial" w:eastAsia="Arial" w:hAnsi="Arial"/>
          <w:i/>
          <w:iCs/>
          <w:sz w:val="24"/>
          <w:szCs w:val="24"/>
        </w:rPr>
        <w:t xml:space="preserve">Cost of a Data Breach Report 2025.</w:t>
      </w:r>
      <w:r>
        <w:rPr>
          <w:rFonts w:ascii="Arial" w:cs="Arial" w:eastAsia="Arial" w:hAnsi="Arial"/>
          <w:i w:val="false"/>
          <w:iCs w:val="false"/>
          <w:sz w:val="24"/>
          <w:szCs w:val="24"/>
        </w:rPr>
        <w:t xml:space="preserve"> Armonk, NY: IBM Security. Available at: https://www.ibm.com/reports/data-breach (Accessed: 9 July 2026).</w:t>
      </w:r>
    </w:p>
    <w:p>
      <w:pPr>
        <w:spacing w:after="120" w:before="80" w:line="480" w:lineRule="auto"/>
        <w:ind w:left="420" w:hanging="420"/>
      </w:pPr>
      <w:r>
        <w:rPr>
          <w:rFonts w:ascii="Arial" w:cs="Arial" w:eastAsia="Arial" w:hAnsi="Arial"/>
          <w:i w:val="false"/>
          <w:iCs w:val="false"/>
          <w:sz w:val="24"/>
          <w:szCs w:val="24"/>
        </w:rPr>
        <w:t xml:space="preserve">Infosec Institute (2021) </w:t>
      </w:r>
      <w:r>
        <w:rPr>
          <w:rFonts w:ascii="Arial" w:cs="Arial" w:eastAsia="Arial" w:hAnsi="Arial"/>
          <w:i/>
          <w:iCs/>
          <w:sz w:val="24"/>
          <w:szCs w:val="24"/>
        </w:rPr>
        <w:t xml:space="preserve">Quantitative risk analysis.</w:t>
      </w:r>
      <w:r>
        <w:rPr>
          <w:rFonts w:ascii="Arial" w:cs="Arial" w:eastAsia="Arial" w:hAnsi="Arial"/>
          <w:i w:val="false"/>
          <w:iCs w:val="false"/>
          <w:sz w:val="24"/>
          <w:szCs w:val="24"/>
        </w:rPr>
        <w:t xml:space="preserve"> Available at: https://www.infosecinstitute.com/resources/general-security/quantitative-risk-analysis/ (Accessed: 9 July 2026).</w:t>
      </w:r>
    </w:p>
    <w:p>
      <w:pPr>
        <w:spacing w:after="120" w:before="80" w:line="480" w:lineRule="auto"/>
        <w:ind w:left="420" w:hanging="420"/>
      </w:pPr>
      <w:r>
        <w:rPr>
          <w:rFonts w:ascii="Arial" w:cs="Arial" w:eastAsia="Arial" w:hAnsi="Arial"/>
          <w:i w:val="false"/>
          <w:iCs w:val="false"/>
          <w:sz w:val="24"/>
          <w:szCs w:val="24"/>
        </w:rPr>
        <w:t xml:space="preserve">International Organization for Standardization (2015) </w:t>
      </w:r>
      <w:r>
        <w:rPr>
          <w:rFonts w:ascii="Arial" w:cs="Arial" w:eastAsia="Arial" w:hAnsi="Arial"/>
          <w:i/>
          <w:iCs/>
          <w:sz w:val="24"/>
          <w:szCs w:val="24"/>
        </w:rPr>
        <w:t xml:space="preserve">ISO 9001:2015: Quality management systems — Requirements.</w:t>
      </w:r>
      <w:r>
        <w:rPr>
          <w:rFonts w:ascii="Arial" w:cs="Arial" w:eastAsia="Arial" w:hAnsi="Arial"/>
          <w:i w:val="false"/>
          <w:iCs w:val="false"/>
          <w:sz w:val="24"/>
          <w:szCs w:val="24"/>
        </w:rPr>
        <w:t xml:space="preserve"> Geneva: ISO.</w:t>
      </w:r>
    </w:p>
    <w:p>
      <w:pPr>
        <w:spacing w:after="120" w:before="80" w:line="480" w:lineRule="auto"/>
        <w:ind w:left="420" w:hanging="420"/>
      </w:pPr>
      <w:r>
        <w:rPr>
          <w:rFonts w:ascii="Arial" w:cs="Arial" w:eastAsia="Arial" w:hAnsi="Arial"/>
          <w:i w:val="false"/>
          <w:iCs w:val="false"/>
          <w:sz w:val="24"/>
          <w:szCs w:val="24"/>
        </w:rPr>
        <w:t xml:space="preserve">International Organization for Standardization (2018a) </w:t>
      </w:r>
      <w:r>
        <w:rPr>
          <w:rFonts w:ascii="Arial" w:cs="Arial" w:eastAsia="Arial" w:hAnsi="Arial"/>
          <w:i/>
          <w:iCs/>
          <w:sz w:val="24"/>
          <w:szCs w:val="24"/>
        </w:rPr>
        <w:t xml:space="preserve">ISO/IEC 27005:2018: Information technology — Security techniques — Information security risk management.</w:t>
      </w:r>
      <w:r>
        <w:rPr>
          <w:rFonts w:ascii="Arial" w:cs="Arial" w:eastAsia="Arial" w:hAnsi="Arial"/>
          <w:i w:val="false"/>
          <w:iCs w:val="false"/>
          <w:sz w:val="24"/>
          <w:szCs w:val="24"/>
        </w:rPr>
        <w:t xml:space="preserve"> Geneva: ISO.</w:t>
      </w:r>
    </w:p>
    <w:p>
      <w:pPr>
        <w:spacing w:after="120" w:before="80" w:line="480" w:lineRule="auto"/>
        <w:ind w:left="420" w:hanging="420"/>
      </w:pPr>
      <w:r>
        <w:rPr>
          <w:rFonts w:ascii="Arial" w:cs="Arial" w:eastAsia="Arial" w:hAnsi="Arial"/>
          <w:i w:val="false"/>
          <w:iCs w:val="false"/>
          <w:sz w:val="24"/>
          <w:szCs w:val="24"/>
        </w:rPr>
        <w:t xml:space="preserve">International Organization for Standardization (2018b) </w:t>
      </w:r>
      <w:r>
        <w:rPr>
          <w:rFonts w:ascii="Arial" w:cs="Arial" w:eastAsia="Arial" w:hAnsi="Arial"/>
          <w:i/>
          <w:iCs/>
          <w:sz w:val="24"/>
          <w:szCs w:val="24"/>
        </w:rPr>
        <w:t xml:space="preserve">ISO 31000:2018: Risk management — Guidelines.</w:t>
      </w:r>
      <w:r>
        <w:rPr>
          <w:rFonts w:ascii="Arial" w:cs="Arial" w:eastAsia="Arial" w:hAnsi="Arial"/>
          <w:i w:val="false"/>
          <w:iCs w:val="false"/>
          <w:sz w:val="24"/>
          <w:szCs w:val="24"/>
        </w:rPr>
        <w:t xml:space="preserve"> Geneva: ISO.</w:t>
      </w:r>
    </w:p>
    <w:p>
      <w:pPr>
        <w:spacing w:after="120" w:before="80" w:line="480" w:lineRule="auto"/>
        <w:ind w:left="420" w:hanging="420"/>
      </w:pPr>
      <w:r>
        <w:rPr>
          <w:rFonts w:ascii="Arial" w:cs="Arial" w:eastAsia="Arial" w:hAnsi="Arial"/>
          <w:i w:val="false"/>
          <w:iCs w:val="false"/>
          <w:sz w:val="24"/>
          <w:szCs w:val="24"/>
        </w:rPr>
        <w:t xml:space="preserve">Microsoft (2026) </w:t>
      </w:r>
      <w:r>
        <w:rPr>
          <w:rFonts w:ascii="Arial" w:cs="Arial" w:eastAsia="Arial" w:hAnsi="Arial"/>
          <w:i/>
          <w:iCs/>
          <w:sz w:val="24"/>
          <w:szCs w:val="24"/>
        </w:rPr>
        <w:t xml:space="preserve">Failover groups overview &amp; best practices - Azure SQL Database.</w:t>
      </w:r>
      <w:r>
        <w:rPr>
          <w:rFonts w:ascii="Arial" w:cs="Arial" w:eastAsia="Arial" w:hAnsi="Arial"/>
          <w:i w:val="false"/>
          <w:iCs w:val="false"/>
          <w:sz w:val="24"/>
          <w:szCs w:val="24"/>
        </w:rPr>
        <w:t xml:space="preserve"> Microsoft Learn. Available at: https://learn.microsoft.com/en-us/azure/azure-sql/database/failover-group-sql-db?view=azuresql (Accessed: 9 July 2026).</w:t>
      </w:r>
    </w:p>
    <w:p>
      <w:pPr>
        <w:spacing w:after="120" w:before="80" w:line="480" w:lineRule="auto"/>
        <w:ind w:left="420" w:hanging="420"/>
      </w:pPr>
      <w:r>
        <w:rPr>
          <w:rFonts w:ascii="Arial" w:cs="Arial" w:eastAsia="Arial" w:hAnsi="Arial"/>
          <w:i w:val="false"/>
          <w:iCs w:val="false"/>
          <w:sz w:val="24"/>
          <w:szCs w:val="24"/>
        </w:rPr>
        <w:t xml:space="preserve">National Institute of Standards and Technology (2010) </w:t>
      </w:r>
      <w:r>
        <w:rPr>
          <w:rFonts w:ascii="Arial" w:cs="Arial" w:eastAsia="Arial" w:hAnsi="Arial"/>
          <w:i/>
          <w:iCs/>
          <w:sz w:val="24"/>
          <w:szCs w:val="24"/>
        </w:rPr>
        <w:t xml:space="preserve">Contingency planning guide for federal information systems.</w:t>
      </w:r>
      <w:r>
        <w:rPr>
          <w:rFonts w:ascii="Arial" w:cs="Arial" w:eastAsia="Arial" w:hAnsi="Arial"/>
          <w:i w:val="false"/>
          <w:iCs w:val="false"/>
          <w:sz w:val="24"/>
          <w:szCs w:val="24"/>
        </w:rPr>
        <w:t xml:space="preserve"> NIST Special Publication 800-34, Rev. 1. Gaithersburg, MD: NIST. Available at: https://doi.org/10.6028/NIST.SP.800-34r1 (Accessed: 9 July 2026).</w:t>
      </w:r>
    </w:p>
    <w:p>
      <w:pPr>
        <w:spacing w:after="120" w:before="80" w:line="480" w:lineRule="auto"/>
        <w:ind w:left="420" w:hanging="420"/>
      </w:pPr>
      <w:r>
        <w:rPr>
          <w:rFonts w:ascii="Arial" w:cs="Arial" w:eastAsia="Arial" w:hAnsi="Arial"/>
          <w:i w:val="false"/>
          <w:iCs w:val="false"/>
          <w:sz w:val="24"/>
          <w:szCs w:val="24"/>
        </w:rPr>
        <w:t xml:space="preserve">National Institute of Standards and Technology (2024) </w:t>
      </w:r>
      <w:r>
        <w:rPr>
          <w:rFonts w:ascii="Arial" w:cs="Arial" w:eastAsia="Arial" w:hAnsi="Arial"/>
          <w:i/>
          <w:iCs/>
          <w:sz w:val="24"/>
          <w:szCs w:val="24"/>
        </w:rPr>
        <w:t xml:space="preserve">The NIST Cybersecurity Framework (CSF) 2.0.</w:t>
      </w:r>
      <w:r>
        <w:rPr>
          <w:rFonts w:ascii="Arial" w:cs="Arial" w:eastAsia="Arial" w:hAnsi="Arial"/>
          <w:i w:val="false"/>
          <w:iCs w:val="false"/>
          <w:sz w:val="24"/>
          <w:szCs w:val="24"/>
        </w:rPr>
        <w:t xml:space="preserve"> NIST Cybersecurity White Paper (CSWP) 29. Gaithersburg, MD: NIST. Available at: https://doi.org/10.6028/NIST.CSWP.29 (Accessed: 9 July 2026).</w:t>
      </w:r>
    </w:p>
    <w:p>
      <w:pPr>
        <w:spacing w:after="120" w:before="80" w:line="480" w:lineRule="auto"/>
        <w:ind w:left="420" w:hanging="420"/>
      </w:pPr>
      <w:r>
        <w:rPr>
          <w:rFonts w:ascii="Arial" w:cs="Arial" w:eastAsia="Arial" w:hAnsi="Arial"/>
          <w:i w:val="false"/>
          <w:iCs w:val="false"/>
          <w:sz w:val="24"/>
          <w:szCs w:val="24"/>
        </w:rPr>
        <w:t xml:space="preserve">Redis (2026) </w:t>
      </w:r>
      <w:r>
        <w:rPr>
          <w:rFonts w:ascii="Arial" w:cs="Arial" w:eastAsia="Arial" w:hAnsi="Arial"/>
          <w:i/>
          <w:iCs/>
          <w:sz w:val="24"/>
          <w:szCs w:val="24"/>
        </w:rPr>
        <w:t xml:space="preserve">Active-active vs active-passive database architecture.</w:t>
      </w:r>
      <w:r>
        <w:rPr>
          <w:rFonts w:ascii="Arial" w:cs="Arial" w:eastAsia="Arial" w:hAnsi="Arial"/>
          <w:i w:val="false"/>
          <w:iCs w:val="false"/>
          <w:sz w:val="24"/>
          <w:szCs w:val="24"/>
        </w:rPr>
        <w:t xml:space="preserve"> Available at: https://redis.io/blog/active-active-vs-active-passive/ (Accessed: 9 July 2026).</w:t>
      </w:r>
    </w:p>
    <w:p>
      <w:pPr>
        <w:spacing w:after="120" w:before="80" w:line="480" w:lineRule="auto"/>
        <w:ind w:left="420" w:hanging="420"/>
      </w:pPr>
      <w:r>
        <w:rPr>
          <w:rFonts w:ascii="Arial" w:cs="Arial" w:eastAsia="Arial" w:hAnsi="Arial"/>
          <w:i w:val="false"/>
          <w:iCs w:val="false"/>
          <w:sz w:val="24"/>
          <w:szCs w:val="24"/>
        </w:rPr>
        <w:t xml:space="preserve">Shevchenko, N., Chick, T.A., O'Riordan, P., Scanlon, T.P. and Woody, C. (2018) </w:t>
      </w:r>
      <w:r>
        <w:rPr>
          <w:rFonts w:ascii="Arial" w:cs="Arial" w:eastAsia="Arial" w:hAnsi="Arial"/>
          <w:i/>
          <w:iCs/>
          <w:sz w:val="24"/>
          <w:szCs w:val="24"/>
        </w:rPr>
        <w:t xml:space="preserve">Threat modeling: A summary of available methods.</w:t>
      </w:r>
      <w:r>
        <w:rPr>
          <w:rFonts w:ascii="Arial" w:cs="Arial" w:eastAsia="Arial" w:hAnsi="Arial"/>
          <w:i w:val="false"/>
          <w:iCs w:val="false"/>
          <w:sz w:val="24"/>
          <w:szCs w:val="24"/>
        </w:rPr>
        <w:t xml:space="preserve"> Pittsburgh, PA: Carnegie Mellon University Software Engineering Institute.</w:t>
      </w:r>
    </w:p>
    <w:p>
      <w:pPr>
        <w:spacing w:after="120" w:before="80" w:line="480" w:lineRule="auto"/>
        <w:ind w:left="420" w:hanging="420"/>
      </w:pPr>
      <w:r>
        <w:rPr>
          <w:rFonts w:ascii="Arial" w:cs="Arial" w:eastAsia="Arial" w:hAnsi="Arial"/>
          <w:i w:val="false"/>
          <w:iCs w:val="false"/>
          <w:sz w:val="24"/>
          <w:szCs w:val="24"/>
        </w:rPr>
        <w:t xml:space="preserve">Sutton, D. (2021) </w:t>
      </w:r>
      <w:r>
        <w:rPr>
          <w:rFonts w:ascii="Arial" w:cs="Arial" w:eastAsia="Arial" w:hAnsi="Arial"/>
          <w:i/>
          <w:iCs/>
          <w:sz w:val="24"/>
          <w:szCs w:val="24"/>
        </w:rPr>
        <w:t xml:space="preserve">Information Risk Management: A practitioner's guide.</w:t>
      </w:r>
      <w:r>
        <w:rPr>
          <w:rFonts w:ascii="Arial" w:cs="Arial" w:eastAsia="Arial" w:hAnsi="Arial"/>
          <w:i w:val="false"/>
          <w:iCs w:val="false"/>
          <w:sz w:val="24"/>
          <w:szCs w:val="24"/>
        </w:rPr>
        <w:t xml:space="preserve"> 2nd edn. London: BCS, The Chartered Institute for IT.</w:t>
      </w:r>
    </w:p>
    <w:p>
      <w:pPr>
        <w:spacing w:after="120" w:before="80" w:line="480" w:lineRule="auto"/>
        <w:ind w:left="420" w:hanging="420"/>
      </w:pPr>
      <w:r>
        <w:rPr>
          <w:rFonts w:ascii="Arial" w:cs="Arial" w:eastAsia="Arial" w:hAnsi="Arial"/>
          <w:i w:val="false"/>
          <w:iCs w:val="false"/>
          <w:sz w:val="24"/>
          <w:szCs w:val="24"/>
        </w:rPr>
        <w:t xml:space="preserve">vCSO.ai (2026) </w:t>
      </w:r>
      <w:r>
        <w:rPr>
          <w:rFonts w:ascii="Arial" w:cs="Arial" w:eastAsia="Arial" w:hAnsi="Arial"/>
          <w:i/>
          <w:iCs/>
          <w:sz w:val="24"/>
          <w:szCs w:val="24"/>
        </w:rPr>
        <w:t xml:space="preserve">Annual loss expectancy: Formula &amp; calculator.</w:t>
      </w:r>
      <w:r>
        <w:rPr>
          <w:rFonts w:ascii="Arial" w:cs="Arial" w:eastAsia="Arial" w:hAnsi="Arial"/>
          <w:i w:val="false"/>
          <w:iCs w:val="false"/>
          <w:sz w:val="24"/>
          <w:szCs w:val="24"/>
        </w:rPr>
        <w:t xml:space="preserve"> Available at: https://vcso.ai/learn/annual-loss-expectancy-calculator/ (Accessed: 9 July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2026-07-12T20:30:36.477Z</dcterms:created>
  <dcterms:modified xsi:type="dcterms:W3CDTF">2026-07-12T20:30:36.477Z</dcterms:modified>
</cp:coreProperties>
</file>

<file path=docProps/custom.xml><?xml version="1.0" encoding="utf-8"?>
<Properties xmlns="http://schemas.openxmlformats.org/officeDocument/2006/custom-properties" xmlns:vt="http://schemas.openxmlformats.org/officeDocument/2006/docPropsVTypes"/>
</file>