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2E4A7A"/>
          <w:sz w:val="52"/>
          <w:szCs w:val="52"/>
        </w:rPr>
        <w:t xml:space="preserve">PAMPERED PETS</w:t>
      </w:r>
    </w:p>
    <w:p>
      <w:pPr>
        <w:spacing w:after="200" w:before="0"/>
        <w:jc w:val="center"/>
      </w:pPr>
      <w:r>
        <w:rPr>
          <w:rFonts w:ascii="Arial" w:cs="Arial" w:eastAsia="Arial" w:hAnsi="Arial"/>
          <w:b/>
          <w:bCs/>
          <w:color w:val="1F3461"/>
          <w:sz w:val="36"/>
          <w:szCs w:val="36"/>
        </w:rPr>
        <w:t xml:space="preserve">Security &amp; Risk Management Report</w:t>
      </w:r>
    </w:p>
    <w:p>
      <w:pPr>
        <w:spacing w:after="600" w:before="0"/>
        <w:jc w:val="center"/>
      </w:pPr>
      <w:r>
        <w:rPr>
          <w:rFonts w:ascii="Arial" w:cs="Arial" w:eastAsia="Arial" w:hAnsi="Arial"/>
          <w:color w:val="555555"/>
          <w:sz w:val="26"/>
          <w:szCs w:val="26"/>
        </w:rPr>
        <w:t xml:space="preserve">Digitalisation Risk Assessment &amp; Recommendation</w:t>
      </w:r>
    </w:p>
    <w:p>
      <w:pPr>
        <w:spacing w:after="20" w:before="100"/>
        <w:jc w:val="center"/>
      </w:pPr>
      <w:r>
        <w:rPr>
          <w:rFonts w:ascii="Arial" w:cs="Arial" w:eastAsia="Arial" w:hAnsi="Arial"/>
          <w:b/>
          <w:bCs/>
          <w:color w:val="2E4A7A"/>
          <w:sz w:val="26"/>
          <w:szCs w:val="26"/>
        </w:rPr>
        <w:t xml:space="preserve">Team Members</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3600"/>
        <w:gridCol w:w="2583"/>
        <w:gridCol w:w="2583"/>
      </w:tblGrid>
      <w:tr>
        <w:trPr>
          <w:tblHeader/>
        </w:trPr>
        <w:tc>
          <w:tcPr>
            <w:tcW w:type="dxa" w:w="3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2583"/>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Registration No.</w:t>
            </w:r>
          </w:p>
        </w:tc>
        <w:tc>
          <w:tcPr>
            <w:tcW w:type="dxa" w:w="2583"/>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Degree &amp; Year</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[Team Member 1 Name]</w:t>
            </w:r>
          </w:p>
        </w:tc>
        <w:tc>
          <w:tcPr>
            <w:tcW w:type="dxa" w:w="2583"/>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[Reg No]</w:t>
            </w:r>
          </w:p>
        </w:tc>
        <w:tc>
          <w:tcPr>
            <w:tcW w:type="dxa" w:w="2583"/>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[Degree, Year]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Member 2 Name]</w:t>
            </w:r>
          </w:p>
        </w:tc>
        <w:tc>
          <w:tcPr>
            <w:tcW w:type="dxa" w:w="25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 No]</w:t>
            </w:r>
          </w:p>
        </w:tc>
        <w:tc>
          <w:tcPr>
            <w:tcW w:type="dxa" w:w="25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[Degree, Year]</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[Team Member 3 Name]</w:t>
            </w:r>
          </w:p>
        </w:tc>
        <w:tc>
          <w:tcPr>
            <w:tcW w:type="dxa" w:w="2583"/>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[Reg No]</w:t>
            </w:r>
          </w:p>
        </w:tc>
        <w:tc>
          <w:tcPr>
            <w:tcW w:type="dxa" w:w="2583"/>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[Degree, Year]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Member 4 Name]</w:t>
            </w:r>
          </w:p>
        </w:tc>
        <w:tc>
          <w:tcPr>
            <w:tcW w:type="dxa" w:w="25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 No]</w:t>
            </w:r>
          </w:p>
        </w:tc>
        <w:tc>
          <w:tcPr>
            <w:tcW w:type="dxa" w:w="25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[Degree, Year]</w:t>
            </w:r>
          </w:p>
        </w:tc>
      </w:tr>
    </w:tbl>
    <w:p>
      <w:pPr>
        <w:spacing w:after="40" w:before="200"/>
      </w:pPr>
      <w:r>
        <w:rPr>
          <w:rFonts w:ascii="Arial" w:cs="Arial" w:eastAsia="Arial" w:hAnsi="Arial"/>
          <w:b/>
          <w:bCs/>
          <w:sz w:val="24"/>
          <w:szCs w:val="24"/>
        </w:rPr>
        <w:t xml:space="preserve">Module Code and Title: </w:t>
      </w:r>
      <w:r>
        <w:rPr>
          <w:rFonts w:ascii="Arial" w:cs="Arial" w:eastAsia="Arial" w:hAnsi="Arial"/>
          <w:sz w:val="24"/>
          <w:szCs w:val="24"/>
        </w:rPr>
        <w:t xml:space="preserve">Security &amp; Risk Management</w:t>
      </w:r>
    </w:p>
    <w:p>
      <w:pPr>
        <w:spacing w:after="40" w:before="40"/>
      </w:pPr>
      <w:r>
        <w:rPr>
          <w:rFonts w:ascii="Arial" w:cs="Arial" w:eastAsia="Arial" w:hAnsi="Arial"/>
          <w:b/>
          <w:bCs/>
          <w:sz w:val="24"/>
          <w:szCs w:val="24"/>
        </w:rPr>
        <w:t xml:space="preserve">Class Teacher: </w:t>
      </w:r>
      <w:r>
        <w:rPr>
          <w:rFonts w:ascii="Arial" w:cs="Arial" w:eastAsia="Arial" w:hAnsi="Arial"/>
          <w:sz w:val="24"/>
          <w:szCs w:val="24"/>
        </w:rPr>
        <w:t xml:space="preserve">[Tutor's Name]</w:t>
      </w:r>
    </w:p>
    <w:p>
      <w:pPr>
        <w:spacing w:after="40" w:before="40"/>
      </w:pPr>
      <w:r>
        <w:rPr>
          <w:rFonts w:ascii="Arial" w:cs="Arial" w:eastAsia="Arial" w:hAnsi="Arial"/>
          <w:b/>
          <w:bCs/>
          <w:sz w:val="24"/>
          <w:szCs w:val="24"/>
        </w:rPr>
        <w:t xml:space="preserve">Full Title: </w:t>
      </w:r>
      <w:r>
        <w:rPr>
          <w:rFonts w:ascii="Arial" w:cs="Arial" w:eastAsia="Arial" w:hAnsi="Arial"/>
          <w:sz w:val="24"/>
          <w:szCs w:val="24"/>
        </w:rPr>
        <w:t xml:space="preserve">Pampered Pets: Security &amp; Risk Management Report</w:t>
      </w:r>
    </w:p>
    <w:p>
      <w:pPr>
        <w:spacing w:after="40" w:before="40"/>
      </w:pPr>
      <w:r>
        <w:rPr>
          <w:rFonts w:ascii="Arial" w:cs="Arial" w:eastAsia="Arial" w:hAnsi="Arial"/>
          <w:b/>
          <w:bCs/>
          <w:sz w:val="24"/>
          <w:szCs w:val="24"/>
        </w:rPr>
        <w:t xml:space="preserve">Academic Year: </w:t>
      </w:r>
      <w:r>
        <w:rPr>
          <w:rFonts w:ascii="Arial" w:cs="Arial" w:eastAsia="Arial" w:hAnsi="Arial"/>
          <w:sz w:val="24"/>
          <w:szCs w:val="24"/>
        </w:rPr>
        <w:t xml:space="preserve">2025-26</w:t>
      </w:r>
    </w:p>
    <w:p>
      <w:pPr>
        <w:spacing w:after="40" w:before="40"/>
      </w:pPr>
      <w:r>
        <w:rPr>
          <w:rFonts w:ascii="Arial" w:cs="Arial" w:eastAsia="Arial" w:hAnsi="Arial"/>
          <w:b/>
          <w:bCs/>
          <w:sz w:val="24"/>
          <w:szCs w:val="24"/>
        </w:rPr>
        <w:t xml:space="preserve">Submission Date: </w:t>
      </w:r>
      <w:r>
        <w:rPr>
          <w:rFonts w:ascii="Arial" w:cs="Arial" w:eastAsia="Arial" w:hAnsi="Arial"/>
          <w:sz w:val="24"/>
          <w:szCs w:val="24"/>
        </w:rPr>
        <w:t xml:space="preserve">Monday, 8 June 2026</w:t>
      </w:r>
    </w:p>
    <w:p>
      <w:pPr>
        <w:spacing w:after="40" w:before="40"/>
      </w:pPr>
      <w:r>
        <w:rPr>
          <w:rFonts w:ascii="Arial" w:cs="Arial" w:eastAsia="Arial" w:hAnsi="Arial"/>
          <w:b/>
          <w:bCs/>
          <w:sz w:val="24"/>
          <w:szCs w:val="24"/>
        </w:rPr>
        <w:t xml:space="preserve">Word Count: </w:t>
      </w:r>
      <w:r>
        <w:rPr>
          <w:rFonts w:ascii="Arial" w:cs="Arial" w:eastAsia="Arial" w:hAnsi="Arial"/>
          <w:sz w:val="24"/>
          <w:szCs w:val="24"/>
        </w:rPr>
        <w:t xml:space="preserve">981 words (excluding references, tables, appendices, TOC)</w:t>
      </w:r>
    </w:p>
    <w:p>
      <w:r>
        <w:br w:type="page"/>
      </w:r>
    </w:p>
    <w:p>
      <w:pPr>
        <w:sectPr>
          <w:pgSz w:w="11906" w:h="16838" w:orient="portrait"/>
          <w:pgMar w:top="1440" w:right="1700" w:bottom="1440" w:left="1440" w:header="708" w:footer="708" w:gutter="0"/>
          <w:pgNumType/>
          <w:docGrid w:linePitch="360"/>
        </w:sectPr>
      </w:pPr>
    </w:p>
    <w:p>
      <w:pPr>
        <w:spacing w:after="300" w:before="0"/>
        <w:jc w:val="center"/>
      </w:pPr>
      <w:r>
        <w:rPr>
          <w:rFonts w:ascii="Arial" w:cs="Arial" w:eastAsia="Arial" w:hAnsi="Arial"/>
          <w:b/>
          <w:bCs/>
          <w:color w:val="2E4A7A"/>
          <w:sz w:val="30"/>
          <w:szCs w:val="30"/>
        </w:rPr>
        <w:t xml:space="preserve">Table of Contents</w:t>
      </w:r>
    </w:p>
    <w:p>
      <w:pPr>
        <w:tabs>
          <w:tab w:val="right" w:pos="8766" w:leader="dot"/>
        </w:tabs>
        <w:spacing w:after="0" w:before="120" w:line="280" w:lineRule="auto"/>
      </w:pPr>
      <w:r>
        <w:rPr>
          <w:rFonts w:ascii="Arial" w:cs="Arial" w:eastAsia="Arial" w:hAnsi="Arial"/>
          <w:b/>
          <w:bCs/>
          <w:color w:val="1F3461"/>
          <w:sz w:val="24"/>
          <w:szCs w:val="24"/>
        </w:rPr>
        <w:t xml:space="preserve">1.  Executive Summary</w:t>
      </w:r>
      <w:r>
        <w:rPr>
          <w:rFonts w:ascii="Arial" w:cs="Arial" w:eastAsia="Arial" w:hAnsi="Arial"/>
          <w:sz w:val="24"/>
          <w:szCs w:val="24"/>
        </w:rPr>
        <w:t xml:space="preserve">	2</w:t>
      </w:r>
    </w:p>
    <w:p>
      <w:pPr>
        <w:tabs>
          <w:tab w:val="right" w:pos="8766" w:leader="dot"/>
        </w:tabs>
        <w:spacing w:after="0" w:before="120" w:line="280" w:lineRule="auto"/>
      </w:pPr>
      <w:r>
        <w:rPr>
          <w:rFonts w:ascii="Arial" w:cs="Arial" w:eastAsia="Arial" w:hAnsi="Arial"/>
          <w:b/>
          <w:bCs/>
          <w:color w:val="1F3461"/>
          <w:sz w:val="24"/>
          <w:szCs w:val="24"/>
        </w:rPr>
        <w:t xml:space="preserve">2.  Business Impact Analysis</w:t>
      </w:r>
      <w:r>
        <w:rPr>
          <w:rFonts w:ascii="Arial" w:cs="Arial" w:eastAsia="Arial" w:hAnsi="Arial"/>
          <w:sz w:val="24"/>
          <w:szCs w:val="24"/>
        </w:rPr>
        <w:t xml:space="preserve">	2</w:t>
      </w:r>
    </w:p>
    <w:p>
      <w:pPr>
        <w:tabs>
          <w:tab w:val="right" w:pos="8766" w:leader="dot"/>
        </w:tabs>
        <w:spacing w:after="0" w:before="60" w:line="280" w:lineRule="auto"/>
      </w:pPr>
      <w:r>
        <w:rPr>
          <w:rFonts w:ascii="Arial" w:cs="Arial" w:eastAsia="Arial" w:hAnsi="Arial"/>
          <w:b w:val="false"/>
          <w:bCs w:val="false"/>
          <w:color w:val="444444"/>
          <w:sz w:val="20"/>
          <w:szCs w:val="20"/>
        </w:rPr>
        <w:t xml:space="preserve">        Question 1: Online Presence - 50% Growth?</w:t>
      </w:r>
      <w:r>
        <w:rPr>
          <w:rFonts w:ascii="Arial" w:cs="Arial" w:eastAsia="Arial" w:hAnsi="Arial"/>
          <w:sz w:val="24"/>
          <w:szCs w:val="24"/>
        </w:rPr>
        <w:t xml:space="preserve">	2</w:t>
      </w:r>
    </w:p>
    <w:p>
      <w:pPr>
        <w:tabs>
          <w:tab w:val="right" w:pos="8766" w:leader="dot"/>
        </w:tabs>
        <w:spacing w:after="0" w:before="60" w:line="280" w:lineRule="auto"/>
      </w:pPr>
      <w:r>
        <w:rPr>
          <w:rFonts w:ascii="Arial" w:cs="Arial" w:eastAsia="Arial" w:hAnsi="Arial"/>
          <w:b w:val="false"/>
          <w:bCs w:val="false"/>
          <w:color w:val="444444"/>
          <w:sz w:val="20"/>
          <w:szCs w:val="20"/>
        </w:rPr>
        <w:t xml:space="preserve">        Question 2: International Supply Chain - 24% Cost Reduction?</w:t>
      </w:r>
      <w:r>
        <w:rPr>
          <w:rFonts w:ascii="Arial" w:cs="Arial" w:eastAsia="Arial" w:hAnsi="Arial"/>
          <w:sz w:val="24"/>
          <w:szCs w:val="24"/>
        </w:rPr>
        <w:t xml:space="preserve">	2</w:t>
      </w:r>
    </w:p>
    <w:p>
      <w:pPr>
        <w:tabs>
          <w:tab w:val="right" w:pos="8766" w:leader="dot"/>
        </w:tabs>
        <w:spacing w:after="0" w:before="60" w:line="280" w:lineRule="auto"/>
      </w:pPr>
      <w:r>
        <w:rPr>
          <w:rFonts w:ascii="Arial" w:cs="Arial" w:eastAsia="Arial" w:hAnsi="Arial"/>
          <w:b w:val="false"/>
          <w:bCs w:val="false"/>
          <w:color w:val="444444"/>
          <w:sz w:val="20"/>
          <w:szCs w:val="20"/>
        </w:rPr>
        <w:t xml:space="preserve">        Question 3: Loss of 33% Customers Without Online Features?</w:t>
      </w:r>
      <w:r>
        <w:rPr>
          <w:rFonts w:ascii="Arial" w:cs="Arial" w:eastAsia="Arial" w:hAnsi="Arial"/>
          <w:sz w:val="24"/>
          <w:szCs w:val="24"/>
        </w:rPr>
        <w:t xml:space="preserve">	2</w:t>
      </w:r>
    </w:p>
    <w:p>
      <w:pPr>
        <w:tabs>
          <w:tab w:val="right" w:pos="8766" w:leader="dot"/>
        </w:tabs>
        <w:spacing w:after="0" w:before="120" w:line="280" w:lineRule="auto"/>
      </w:pPr>
      <w:r>
        <w:rPr>
          <w:rFonts w:ascii="Arial" w:cs="Arial" w:eastAsia="Arial" w:hAnsi="Arial"/>
          <w:b/>
          <w:bCs/>
          <w:color w:val="1F3461"/>
          <w:sz w:val="24"/>
          <w:szCs w:val="24"/>
        </w:rPr>
        <w:t xml:space="preserve">3.  Risk Assessment: Current Business (Status Quo)</w:t>
      </w:r>
      <w:r>
        <w:rPr>
          <w:rFonts w:ascii="Arial" w:cs="Arial" w:eastAsia="Arial" w:hAnsi="Arial"/>
          <w:sz w:val="24"/>
          <w:szCs w:val="24"/>
        </w:rPr>
        <w:t xml:space="preserve">	3</w:t>
      </w:r>
    </w:p>
    <w:p>
      <w:pPr>
        <w:tabs>
          <w:tab w:val="right" w:pos="8766" w:leader="dot"/>
        </w:tabs>
        <w:spacing w:after="0" w:before="60" w:line="280" w:lineRule="auto"/>
      </w:pPr>
      <w:r>
        <w:rPr>
          <w:rFonts w:ascii="Arial" w:cs="Arial" w:eastAsia="Arial" w:hAnsi="Arial"/>
          <w:b w:val="false"/>
          <w:bCs w:val="false"/>
          <w:color w:val="444444"/>
          <w:sz w:val="20"/>
          <w:szCs w:val="20"/>
        </w:rPr>
        <w:t xml:space="preserve">        3.1  Risk Assessment Methodology</w:t>
      </w:r>
      <w:r>
        <w:rPr>
          <w:rFonts w:ascii="Arial" w:cs="Arial" w:eastAsia="Arial" w:hAnsi="Arial"/>
          <w:sz w:val="24"/>
          <w:szCs w:val="24"/>
        </w:rPr>
        <w:t xml:space="preserve">	3</w:t>
      </w:r>
    </w:p>
    <w:p>
      <w:pPr>
        <w:tabs>
          <w:tab w:val="right" w:pos="8766" w:leader="dot"/>
        </w:tabs>
        <w:spacing w:after="0" w:before="60" w:line="280" w:lineRule="auto"/>
      </w:pPr>
      <w:r>
        <w:rPr>
          <w:rFonts w:ascii="Arial" w:cs="Arial" w:eastAsia="Arial" w:hAnsi="Arial"/>
          <w:b w:val="false"/>
          <w:bCs w:val="false"/>
          <w:color w:val="444444"/>
          <w:sz w:val="20"/>
          <w:szCs w:val="20"/>
        </w:rPr>
        <w:t xml:space="preserve">        3.2  Asset Identification</w:t>
      </w:r>
      <w:r>
        <w:rPr>
          <w:rFonts w:ascii="Arial" w:cs="Arial" w:eastAsia="Arial" w:hAnsi="Arial"/>
          <w:sz w:val="24"/>
          <w:szCs w:val="24"/>
        </w:rPr>
        <w:t xml:space="preserve">	3</w:t>
      </w:r>
    </w:p>
    <w:p>
      <w:pPr>
        <w:tabs>
          <w:tab w:val="right" w:pos="8766" w:leader="dot"/>
        </w:tabs>
        <w:spacing w:after="0" w:before="60" w:line="280" w:lineRule="auto"/>
      </w:pPr>
      <w:r>
        <w:rPr>
          <w:rFonts w:ascii="Arial" w:cs="Arial" w:eastAsia="Arial" w:hAnsi="Arial"/>
          <w:b w:val="false"/>
          <w:bCs w:val="false"/>
          <w:color w:val="444444"/>
          <w:sz w:val="20"/>
          <w:szCs w:val="20"/>
        </w:rPr>
        <w:t xml:space="preserve">        3.3  Current Risk &amp; Threat Modelling</w:t>
      </w:r>
      <w:r>
        <w:rPr>
          <w:rFonts w:ascii="Arial" w:cs="Arial" w:eastAsia="Arial" w:hAnsi="Arial"/>
          <w:sz w:val="24"/>
          <w:szCs w:val="24"/>
        </w:rPr>
        <w:t xml:space="preserve">	3</w:t>
      </w:r>
    </w:p>
    <w:p>
      <w:pPr>
        <w:tabs>
          <w:tab w:val="right" w:pos="8766" w:leader="dot"/>
        </w:tabs>
        <w:spacing w:after="0" w:before="60" w:line="280" w:lineRule="auto"/>
      </w:pPr>
      <w:r>
        <w:rPr>
          <w:rFonts w:ascii="Arial" w:cs="Arial" w:eastAsia="Arial" w:hAnsi="Arial"/>
          <w:b w:val="false"/>
          <w:bCs w:val="false"/>
          <w:color w:val="444444"/>
          <w:sz w:val="20"/>
          <w:szCs w:val="20"/>
        </w:rPr>
        <w:t xml:space="preserve">        3.4  Current Risk Mitigations</w:t>
      </w:r>
      <w:r>
        <w:rPr>
          <w:rFonts w:ascii="Arial" w:cs="Arial" w:eastAsia="Arial" w:hAnsi="Arial"/>
          <w:sz w:val="24"/>
          <w:szCs w:val="24"/>
        </w:rPr>
        <w:t xml:space="preserve">	3</w:t>
      </w:r>
    </w:p>
    <w:p>
      <w:pPr>
        <w:tabs>
          <w:tab w:val="right" w:pos="8766" w:leader="dot"/>
        </w:tabs>
        <w:spacing w:after="0" w:before="120" w:line="280" w:lineRule="auto"/>
      </w:pPr>
      <w:r>
        <w:rPr>
          <w:rFonts w:ascii="Arial" w:cs="Arial" w:eastAsia="Arial" w:hAnsi="Arial"/>
          <w:b/>
          <w:bCs/>
          <w:color w:val="1F3461"/>
          <w:sz w:val="24"/>
          <w:szCs w:val="24"/>
        </w:rPr>
        <w:t xml:space="preserve">4.  Risk Assessment: Proposed Digitalisation</w:t>
      </w:r>
      <w:r>
        <w:rPr>
          <w:rFonts w:ascii="Arial" w:cs="Arial" w:eastAsia="Arial" w:hAnsi="Arial"/>
          <w:sz w:val="24"/>
          <w:szCs w:val="24"/>
        </w:rPr>
        <w:t xml:space="preserve">	4</w:t>
      </w:r>
    </w:p>
    <w:p>
      <w:pPr>
        <w:tabs>
          <w:tab w:val="right" w:pos="8766" w:leader="dot"/>
        </w:tabs>
        <w:spacing w:after="0" w:before="60" w:line="280" w:lineRule="auto"/>
      </w:pPr>
      <w:r>
        <w:rPr>
          <w:rFonts w:ascii="Arial" w:cs="Arial" w:eastAsia="Arial" w:hAnsi="Arial"/>
          <w:b w:val="false"/>
          <w:bCs w:val="false"/>
          <w:color w:val="444444"/>
          <w:sz w:val="20"/>
          <w:szCs w:val="20"/>
        </w:rPr>
        <w:t xml:space="preserve">        4.1  Risk Assessment Methodology</w:t>
      </w:r>
      <w:r>
        <w:rPr>
          <w:rFonts w:ascii="Arial" w:cs="Arial" w:eastAsia="Arial" w:hAnsi="Arial"/>
          <w:sz w:val="24"/>
          <w:szCs w:val="24"/>
        </w:rPr>
        <w:t xml:space="preserve">	4</w:t>
      </w:r>
    </w:p>
    <w:p>
      <w:pPr>
        <w:tabs>
          <w:tab w:val="right" w:pos="8766" w:leader="dot"/>
        </w:tabs>
        <w:spacing w:after="0" w:before="60" w:line="280" w:lineRule="auto"/>
      </w:pPr>
      <w:r>
        <w:rPr>
          <w:rFonts w:ascii="Arial" w:cs="Arial" w:eastAsia="Arial" w:hAnsi="Arial"/>
          <w:b w:val="false"/>
          <w:bCs w:val="false"/>
          <w:color w:val="444444"/>
          <w:sz w:val="20"/>
          <w:szCs w:val="20"/>
        </w:rPr>
        <w:t xml:space="preserve">        4.2  Proposed Digitalisation Changes</w:t>
      </w:r>
      <w:r>
        <w:rPr>
          <w:rFonts w:ascii="Arial" w:cs="Arial" w:eastAsia="Arial" w:hAnsi="Arial"/>
          <w:sz w:val="24"/>
          <w:szCs w:val="24"/>
        </w:rPr>
        <w:t xml:space="preserve">	4</w:t>
      </w:r>
    </w:p>
    <w:p>
      <w:pPr>
        <w:tabs>
          <w:tab w:val="right" w:pos="8766" w:leader="dot"/>
        </w:tabs>
        <w:spacing w:after="0" w:before="60" w:line="280" w:lineRule="auto"/>
      </w:pPr>
      <w:r>
        <w:rPr>
          <w:rFonts w:ascii="Arial" w:cs="Arial" w:eastAsia="Arial" w:hAnsi="Arial"/>
          <w:b w:val="false"/>
          <w:bCs w:val="false"/>
          <w:color w:val="444444"/>
          <w:sz w:val="20"/>
          <w:szCs w:val="20"/>
        </w:rPr>
        <w:t xml:space="preserve">        4.3  Digitalisation Risk &amp; Threat Modelling + STRIDE</w:t>
      </w:r>
      <w:r>
        <w:rPr>
          <w:rFonts w:ascii="Arial" w:cs="Arial" w:eastAsia="Arial" w:hAnsi="Arial"/>
          <w:sz w:val="24"/>
          <w:szCs w:val="24"/>
        </w:rPr>
        <w:t xml:space="preserve">	4</w:t>
      </w:r>
    </w:p>
    <w:p>
      <w:pPr>
        <w:tabs>
          <w:tab w:val="right" w:pos="8766" w:leader="dot"/>
        </w:tabs>
        <w:spacing w:after="0" w:before="60" w:line="280" w:lineRule="auto"/>
      </w:pPr>
      <w:r>
        <w:rPr>
          <w:rFonts w:ascii="Arial" w:cs="Arial" w:eastAsia="Arial" w:hAnsi="Arial"/>
          <w:b w:val="false"/>
          <w:bCs w:val="false"/>
          <w:color w:val="444444"/>
          <w:sz w:val="20"/>
          <w:szCs w:val="20"/>
        </w:rPr>
        <w:t xml:space="preserve">        4.4  Digitalisation Risk Mitigations</w:t>
      </w:r>
      <w:r>
        <w:rPr>
          <w:rFonts w:ascii="Arial" w:cs="Arial" w:eastAsia="Arial" w:hAnsi="Arial"/>
          <w:sz w:val="24"/>
          <w:szCs w:val="24"/>
        </w:rPr>
        <w:t xml:space="preserve">	4</w:t>
      </w:r>
    </w:p>
    <w:p>
      <w:pPr>
        <w:tabs>
          <w:tab w:val="right" w:pos="8766" w:leader="dot"/>
        </w:tabs>
        <w:spacing w:after="0" w:before="120" w:line="280" w:lineRule="auto"/>
      </w:pPr>
      <w:r>
        <w:rPr>
          <w:rFonts w:ascii="Arial" w:cs="Arial" w:eastAsia="Arial" w:hAnsi="Arial"/>
          <w:b/>
          <w:bCs/>
          <w:color w:val="1F3461"/>
          <w:sz w:val="24"/>
          <w:szCs w:val="24"/>
        </w:rPr>
        <w:t xml:space="preserve">5.  Recommendation &amp; Implementation Timeline</w:t>
      </w:r>
      <w:r>
        <w:rPr>
          <w:rFonts w:ascii="Arial" w:cs="Arial" w:eastAsia="Arial" w:hAnsi="Arial"/>
          <w:sz w:val="24"/>
          <w:szCs w:val="24"/>
        </w:rPr>
        <w:t xml:space="preserve">	5</w:t>
      </w:r>
    </w:p>
    <w:p>
      <w:pPr>
        <w:tabs>
          <w:tab w:val="right" w:pos="8766" w:leader="dot"/>
        </w:tabs>
        <w:spacing w:after="0" w:before="120" w:line="280" w:lineRule="auto"/>
      </w:pPr>
      <w:r>
        <w:rPr>
          <w:rFonts w:ascii="Arial" w:cs="Arial" w:eastAsia="Arial" w:hAnsi="Arial"/>
          <w:b/>
          <w:bCs/>
          <w:color w:val="1F3461"/>
          <w:sz w:val="24"/>
          <w:szCs w:val="24"/>
        </w:rPr>
        <w:t xml:space="preserve">6.  Conclusion</w:t>
      </w:r>
      <w:r>
        <w:rPr>
          <w:rFonts w:ascii="Arial" w:cs="Arial" w:eastAsia="Arial" w:hAnsi="Arial"/>
          <w:sz w:val="24"/>
          <w:szCs w:val="24"/>
        </w:rPr>
        <w:t xml:space="preserve">	5</w:t>
      </w:r>
    </w:p>
    <w:p>
      <w:pPr>
        <w:tabs>
          <w:tab w:val="right" w:pos="8766" w:leader="dot"/>
        </w:tabs>
        <w:spacing w:after="0" w:before="120" w:line="280" w:lineRule="auto"/>
      </w:pPr>
      <w:r>
        <w:rPr>
          <w:rFonts w:ascii="Arial" w:cs="Arial" w:eastAsia="Arial" w:hAnsi="Arial"/>
          <w:b/>
          <w:bCs/>
          <w:color w:val="1F3461"/>
          <w:sz w:val="24"/>
          <w:szCs w:val="24"/>
        </w:rPr>
        <w:t xml:space="preserve">7.  References</w:t>
      </w:r>
      <w:r>
        <w:rPr>
          <w:rFonts w:ascii="Arial" w:cs="Arial" w:eastAsia="Arial" w:hAnsi="Arial"/>
          <w:sz w:val="24"/>
          <w:szCs w:val="24"/>
        </w:rPr>
        <w:t xml:space="preserve">	6</w:t>
      </w:r>
    </w:p>
    <w:p>
      <w:pPr>
        <w:tabs>
          <w:tab w:val="right" w:pos="8766" w:leader="dot"/>
        </w:tabs>
        <w:spacing w:after="0" w:before="60" w:line="280" w:lineRule="auto"/>
      </w:pPr>
      <w:r>
        <w:rPr>
          <w:rFonts w:ascii="Arial" w:cs="Arial" w:eastAsia="Arial" w:hAnsi="Arial"/>
          <w:b w:val="false"/>
          <w:bCs w:val="false"/>
          <w:color w:val="444444"/>
          <w:sz w:val="20"/>
          <w:szCs w:val="20"/>
        </w:rPr>
        <w:t xml:space="preserve">        Appendix A: Current Business Risk Matrix</w:t>
      </w:r>
      <w:r>
        <w:rPr>
          <w:rFonts w:ascii="Arial" w:cs="Arial" w:eastAsia="Arial" w:hAnsi="Arial"/>
          <w:sz w:val="24"/>
          <w:szCs w:val="24"/>
        </w:rPr>
        <w:t xml:space="preserve">	7</w:t>
      </w:r>
    </w:p>
    <w:p>
      <w:pPr>
        <w:tabs>
          <w:tab w:val="right" w:pos="8766" w:leader="dot"/>
        </w:tabs>
        <w:spacing w:after="0" w:before="60" w:line="280" w:lineRule="auto"/>
      </w:pPr>
      <w:r>
        <w:rPr>
          <w:rFonts w:ascii="Arial" w:cs="Arial" w:eastAsia="Arial" w:hAnsi="Arial"/>
          <w:b w:val="false"/>
          <w:bCs w:val="false"/>
          <w:color w:val="444444"/>
          <w:sz w:val="20"/>
          <w:szCs w:val="20"/>
        </w:rPr>
        <w:t xml:space="preserve">        Appendix B: Digitalisation Risk Matrix</w:t>
      </w:r>
      <w:r>
        <w:rPr>
          <w:rFonts w:ascii="Arial" w:cs="Arial" w:eastAsia="Arial" w:hAnsi="Arial"/>
          <w:sz w:val="24"/>
          <w:szCs w:val="24"/>
        </w:rPr>
        <w:t xml:space="preserve">	8</w:t>
      </w:r>
    </w:p>
    <w:p>
      <w:r>
        <w:br w:type="page"/>
      </w:r>
    </w:p>
    <w:p>
      <w:pPr>
        <w:pStyle w:val="Heading1"/>
        <w:spacing w:after="120" w:before="360" w:line="360" w:lineRule="auto"/>
      </w:pPr>
      <w:r>
        <w:rPr>
          <w:rFonts w:ascii="Arial" w:cs="Arial" w:eastAsia="Arial" w:hAnsi="Arial"/>
          <w:b/>
          <w:bCs/>
          <w:color w:val="2E4A7A"/>
          <w:sz w:val="26"/>
          <w:szCs w:val="26"/>
        </w:rPr>
        <w:t xml:space="preserve">1. Executive Summary</w:t>
      </w:r>
    </w:p>
    <w:p>
      <w:pPr>
        <w:spacing w:after="80" w:before="80" w:line="360" w:lineRule="auto"/>
      </w:pPr>
      <w:r>
        <w:rPr>
          <w:rFonts w:ascii="Arial" w:cs="Arial" w:eastAsia="Arial" w:hAnsi="Arial"/>
          <w:b w:val="false"/>
          <w:bCs w:val="false"/>
          <w:sz w:val="24"/>
          <w:szCs w:val="24"/>
        </w:rPr>
        <w:t xml:space="preserve">This report was commissioned by Cathy, shop manager of Pampered Pets, a bricks-and-mortar pet food retailer in Hashington-on-the-Water. The business employs four staff and operates almost entirely face-to-face with limited digital infrastructure. Following investment from Orla O'dour, the business is evaluating a digitalisation transformation. This report assesses the risks of both the current state and the proposed changes, and provides a final recommendation (Whitman and Mattord, 2021).</w:t>
      </w:r>
    </w:p>
    <w:p>
      <w:pPr>
        <w:spacing w:after="80" w:before="80"/>
      </w:pPr>
      <w:r>
        <w:t xml:space="preserve"/>
      </w:r>
    </w:p>
    <w:p>
      <w:pPr>
        <w:pStyle w:val="Heading1"/>
        <w:spacing w:after="120" w:before="360" w:line="360" w:lineRule="auto"/>
      </w:pPr>
      <w:r>
        <w:rPr>
          <w:rFonts w:ascii="Arial" w:cs="Arial" w:eastAsia="Arial" w:hAnsi="Arial"/>
          <w:b/>
          <w:bCs/>
          <w:color w:val="2E4A7A"/>
          <w:sz w:val="26"/>
          <w:szCs w:val="26"/>
        </w:rPr>
        <w:t xml:space="preserve">2. Business Impact Analysis</w:t>
      </w:r>
    </w:p>
    <w:p>
      <w:pPr>
        <w:spacing w:after="80" w:before="80" w:line="360" w:lineRule="auto"/>
      </w:pPr>
      <w:r>
        <w:rPr>
          <w:rFonts w:ascii="Arial" w:cs="Arial" w:eastAsia="Arial" w:hAnsi="Arial"/>
          <w:b w:val="false"/>
          <w:bCs w:val="false"/>
          <w:sz w:val="24"/>
          <w:szCs w:val="24"/>
        </w:rPr>
        <w:t xml:space="preserve">The assignment brief identifies three key business questions. This section addresses each directly before proceeding to the full risk assessment.</w:t>
      </w:r>
    </w:p>
    <w:p>
      <w:pPr>
        <w:spacing w:after="80" w:before="80"/>
      </w:pPr>
      <w:r>
        <w:t xml:space="preserve"/>
      </w:r>
    </w:p>
    <w:p>
      <w:pPr>
        <w:pStyle w:val="Heading2"/>
        <w:spacing w:after="100" w:before="280" w:line="360" w:lineRule="auto"/>
      </w:pPr>
      <w:r>
        <w:rPr>
          <w:rFonts w:ascii="Arial" w:cs="Arial" w:eastAsia="Arial" w:hAnsi="Arial"/>
          <w:b/>
          <w:bCs/>
          <w:color w:val="1F3461"/>
          <w:sz w:val="24"/>
          <w:szCs w:val="24"/>
        </w:rPr>
        <w:t xml:space="preserve">Question 1: Could an online presence grow the business by up to 50%?</w:t>
      </w:r>
    </w:p>
    <w:p>
      <w:pPr>
        <w:spacing w:after="80" w:before="80" w:line="360" w:lineRule="auto"/>
      </w:pPr>
      <w:r>
        <w:rPr>
          <w:rFonts w:ascii="Arial" w:cs="Arial" w:eastAsia="Arial" w:hAnsi="Arial"/>
          <w:b w:val="false"/>
          <w:bCs w:val="false"/>
          <w:sz w:val="24"/>
          <w:szCs w:val="24"/>
        </w:rPr>
        <w:t xml:space="preserve">This is plausible and strongly supported. Establishing an e-commerce presence can significantly expand the customer base beyond the local area (Whitman and Mattord, 2021). For Pampered Pets, which relies on 90% face-to-face sales, an online shop would open regional and national markets. Combined with social media marketing and SEO, a 50% revenue increase is a realistic medium-term target. This team supports pursuing an online presence as a strategic growth priority.</w:t>
      </w:r>
    </w:p>
    <w:p>
      <w:pPr>
        <w:spacing w:after="80" w:before="80"/>
      </w:pPr>
      <w:r>
        <w:t xml:space="preserve"/>
      </w:r>
    </w:p>
    <w:p>
      <w:pPr>
        <w:pStyle w:val="Heading2"/>
        <w:spacing w:after="100" w:before="280" w:line="360" w:lineRule="auto"/>
      </w:pPr>
      <w:r>
        <w:rPr>
          <w:rFonts w:ascii="Arial" w:cs="Arial" w:eastAsia="Arial" w:hAnsi="Arial"/>
          <w:b/>
          <w:bCs/>
          <w:color w:val="1F3461"/>
          <w:sz w:val="24"/>
          <w:szCs w:val="24"/>
        </w:rPr>
        <w:t xml:space="preserve">Question 2: Could changing to an international supply chain reduce costs by up to 24%?</w:t>
      </w:r>
    </w:p>
    <w:p>
      <w:pPr>
        <w:spacing w:after="80" w:before="80" w:line="360" w:lineRule="auto"/>
      </w:pPr>
      <w:r>
        <w:rPr>
          <w:rFonts w:ascii="Arial" w:cs="Arial" w:eastAsia="Arial" w:hAnsi="Arial"/>
          <w:b w:val="false"/>
          <w:bCs w:val="false"/>
          <w:sz w:val="24"/>
          <w:szCs w:val="24"/>
        </w:rPr>
        <w:t xml:space="preserve">This is possible but high-risk. International suppliers may offer lower unit costs; however, this must be weighed against longer lead times, reduced quality control, and loss of the guaranteed local supply chain currently reachable within 10 minutes (Calder and Watkins, 2019). A 24% cost reduction is only achievable with rigorous supplier vetting. This team recommends a hybrid approach: sourcing non-critical ingredients internationally while retaining local suppliers for core quality products.</w:t>
      </w:r>
    </w:p>
    <w:p>
      <w:pPr>
        <w:spacing w:after="80" w:before="80"/>
      </w:pPr>
      <w:r>
        <w:t xml:space="preserve"/>
      </w:r>
    </w:p>
    <w:p>
      <w:pPr>
        <w:pStyle w:val="Heading2"/>
        <w:spacing w:after="100" w:before="280" w:line="360" w:lineRule="auto"/>
      </w:pPr>
      <w:r>
        <w:rPr>
          <w:rFonts w:ascii="Arial" w:cs="Arial" w:eastAsia="Arial" w:hAnsi="Arial"/>
          <w:b/>
          <w:bCs/>
          <w:color w:val="1F3461"/>
          <w:sz w:val="24"/>
          <w:szCs w:val="24"/>
        </w:rPr>
        <w:t xml:space="preserve">Question 3: Could the business lose up to 33% of customers without online features?</w:t>
      </w:r>
    </w:p>
    <w:p>
      <w:pPr>
        <w:spacing w:after="80" w:before="80" w:line="360" w:lineRule="auto"/>
      </w:pPr>
      <w:r>
        <w:rPr>
          <w:rFonts w:ascii="Arial" w:cs="Arial" w:eastAsia="Arial" w:hAnsi="Arial"/>
          <w:b w:val="false"/>
          <w:bCs w:val="false"/>
          <w:sz w:val="24"/>
          <w:szCs w:val="24"/>
        </w:rPr>
        <w:t xml:space="preserve">This is a credible and immediate threat. Consumers increasingly expect businesses to offer at minimum a website or online ordering capability. Without these, Pampered Pets risks being perceived as inaccessible, particularly by younger demographics. The 33% customer loss figure is conservative given current market trends. This risk alone justifies investing in a basic online presence as an urgent priority.</w:t>
      </w:r>
    </w:p>
    <w:p>
      <w:pPr>
        <w:spacing w:after="80" w:before="80"/>
      </w:pPr>
      <w:r>
        <w:t xml:space="preserve"/>
      </w:r>
    </w:p>
    <w:p>
      <w:pPr>
        <w:pStyle w:val="Heading1"/>
        <w:spacing w:after="120" w:before="360" w:line="360" w:lineRule="auto"/>
      </w:pPr>
      <w:r>
        <w:rPr>
          <w:rFonts w:ascii="Arial" w:cs="Arial" w:eastAsia="Arial" w:hAnsi="Arial"/>
          <w:b/>
          <w:bCs/>
          <w:color w:val="2E4A7A"/>
          <w:sz w:val="26"/>
          <w:szCs w:val="26"/>
        </w:rPr>
        <w:t xml:space="preserve">3. Risk Assessment: Current Business (Status Quo)</w:t>
      </w:r>
    </w:p>
    <w:p>
      <w:pPr>
        <w:pStyle w:val="Heading2"/>
        <w:spacing w:after="100" w:before="280" w:line="360" w:lineRule="auto"/>
      </w:pPr>
      <w:r>
        <w:rPr>
          <w:rFonts w:ascii="Arial" w:cs="Arial" w:eastAsia="Arial" w:hAnsi="Arial"/>
          <w:b/>
          <w:bCs/>
          <w:color w:val="1F3461"/>
          <w:sz w:val="24"/>
          <w:szCs w:val="24"/>
        </w:rPr>
        <w:t xml:space="preserve">3.1 Risk Assessment Methodology</w:t>
      </w:r>
    </w:p>
    <w:p>
      <w:pPr>
        <w:spacing w:after="80" w:before="80" w:line="360" w:lineRule="auto"/>
      </w:pPr>
      <w:r>
        <w:rPr>
          <w:rFonts w:ascii="Arial" w:cs="Arial" w:eastAsia="Arial" w:hAnsi="Arial"/>
          <w:b w:val="false"/>
          <w:bCs w:val="false"/>
          <w:sz w:val="24"/>
          <w:szCs w:val="24"/>
        </w:rPr>
        <w:t xml:space="preserve">The NIST Risk Management Framework (RMF) was selected for the current business assessment. It provides a structured, repeatable approach suited to small businesses with limited IT infrastructure (NIST, 2018). It enables risk categorisation by likelihood and impact, producing a clear and actionable risk register aligned with ISO 27001 principles.</w:t>
      </w:r>
    </w:p>
    <w:p>
      <w:pPr>
        <w:spacing w:after="80" w:before="80"/>
      </w:pPr>
      <w:r>
        <w:t xml:space="preserve"/>
      </w:r>
    </w:p>
    <w:p>
      <w:pPr>
        <w:pStyle w:val="Heading2"/>
        <w:spacing w:after="100" w:before="280" w:line="360" w:lineRule="auto"/>
      </w:pPr>
      <w:r>
        <w:rPr>
          <w:rFonts w:ascii="Arial" w:cs="Arial" w:eastAsia="Arial" w:hAnsi="Arial"/>
          <w:b/>
          <w:bCs/>
          <w:color w:val="1F3461"/>
          <w:sz w:val="24"/>
          <w:szCs w:val="24"/>
        </w:rPr>
        <w:t xml:space="preserve">3.2 Asset Identification</w:t>
      </w:r>
    </w:p>
    <w:p>
      <w:pPr>
        <w:spacing w:after="80" w:before="80" w:line="360" w:lineRule="auto"/>
      </w:pPr>
      <w:r>
        <w:rPr>
          <w:rFonts w:ascii="Arial" w:cs="Arial" w:eastAsia="Arial" w:hAnsi="Arial"/>
          <w:b w:val="false"/>
          <w:bCs w:val="false"/>
          <w:sz w:val="24"/>
          <w:szCs w:val="24"/>
        </w:rPr>
        <w:t xml:space="preserve">Prior to threat modelling, key information assets were identified and rated by importance to the business:</w:t>
      </w:r>
    </w:p>
    <w:p>
      <w:pPr>
        <w:spacing w:before="100"/>
      </w:pP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3000"/>
        <w:gridCol w:w="2883"/>
        <w:gridCol w:w="2883"/>
      </w:tblGrid>
      <w:tr>
        <w:trPr>
          <w:tblHeader/>
        </w:trPr>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2883"/>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83"/>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Importance</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Sales / Front Desk Computer</w:t>
            </w:r>
          </w:p>
        </w:tc>
        <w:tc>
          <w:tcPr>
            <w:tcW w:type="dxa" w:w="2883"/>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Processes all sales and purchases; VAT/tax records</w:t>
            </w:r>
          </w:p>
        </w:tc>
        <w:tc>
          <w:tcPr>
            <w:tcW w:type="dxa" w:w="2883"/>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sz w:val="19"/>
                <w:szCs w:val="19"/>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Warehouse Computer (networked)</w:t>
            </w:r>
          </w:p>
        </w:tc>
        <w:tc>
          <w:tcPr>
            <w:tcW w:type="dxa" w:w="28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Tracks deliveries, stock levels, item locations</w:t>
            </w:r>
          </w:p>
        </w:tc>
        <w:tc>
          <w:tcPr>
            <w:tcW w:type="dxa" w:w="2883"/>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sz w:val="19"/>
                <w:szCs w:val="19"/>
              </w:rPr>
              <w:t xml:space="preserve">HIGH</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Customer Email Data</w:t>
            </w:r>
          </w:p>
        </w:tc>
        <w:tc>
          <w:tcPr>
            <w:tcW w:type="dxa" w:w="2883"/>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Order details, contact info - GDPR applicable</w:t>
            </w:r>
          </w:p>
        </w:tc>
        <w:tc>
          <w:tcPr>
            <w:tcW w:type="dxa" w:w="2883"/>
            <w:tcBorders>
              <w:top w:val="single" w:color="CCCCCC" w:sz="1"/>
              <w:left w:val="single" w:color="CCCCCC" w:sz="1"/>
              <w:bottom w:val="single" w:color="CCCCCC" w:sz="1"/>
              <w:right w:val="single" w:color="CCCCCC" w:sz="1"/>
            </w:tcBorders>
            <w:shd w:fill="FFB3B3" w:val="clear"/>
            <w:tcMar>
              <w:top w:type="dxa" w:w="80"/>
              <w:left w:type="dxa" w:w="120"/>
              <w:bottom w:type="dxa" w:w="80"/>
              <w:right w:type="dxa" w:w="120"/>
            </w:tcMar>
          </w:tcPr>
          <w:p>
            <w:r>
              <w:rPr>
                <w:rFonts w:ascii="Arial" w:cs="Arial" w:eastAsia="Arial" w:hAnsi="Arial"/>
                <w:b/>
                <w:bCs/>
                <w:sz w:val="19"/>
                <w:szCs w:val="19"/>
              </w:rPr>
              <w:t xml:space="preserve">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Wi-Fi Network &amp; Hub</w:t>
            </w:r>
          </w:p>
        </w:tc>
        <w:tc>
          <w:tcPr>
            <w:tcW w:type="dxa" w:w="28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Connects all devices including staff smartphones</w:t>
            </w:r>
          </w:p>
        </w:tc>
        <w:tc>
          <w:tcPr>
            <w:tcW w:type="dxa" w:w="2883"/>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sz w:val="19"/>
                <w:szCs w:val="19"/>
              </w:rPr>
              <w:t xml:space="preserve">HIGH</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Business Reputation</w:t>
            </w:r>
          </w:p>
        </w:tc>
        <w:tc>
          <w:tcPr>
            <w:tcW w:type="dxa" w:w="2883"/>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Brand trust built on quality products and local service</w:t>
            </w:r>
          </w:p>
        </w:tc>
        <w:tc>
          <w:tcPr>
            <w:tcW w:type="dxa" w:w="2883"/>
            <w:tcBorders>
              <w:top w:val="single" w:color="CCCCCC" w:sz="1"/>
              <w:left w:val="single" w:color="CCCCCC" w:sz="1"/>
              <w:bottom w:val="single" w:color="CCCCCC" w:sz="1"/>
              <w:right w:val="single" w:color="CCCCCC" w:sz="1"/>
            </w:tcBorders>
            <w:shd w:fill="FFB3B3" w:val="clear"/>
            <w:tcMar>
              <w:top w:type="dxa" w:w="80"/>
              <w:left w:type="dxa" w:w="120"/>
              <w:bottom w:type="dxa" w:w="80"/>
              <w:right w:type="dxa" w:w="120"/>
            </w:tcMar>
          </w:tcPr>
          <w:p>
            <w:r>
              <w:rPr>
                <w:rFonts w:ascii="Arial" w:cs="Arial" w:eastAsia="Arial" w:hAnsi="Arial"/>
                <w:b/>
                <w:bCs/>
                <w:sz w:val="19"/>
                <w:szCs w:val="19"/>
              </w:rPr>
              <w:t xml:space="preserve">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Local Supply Chain</w:t>
            </w:r>
          </w:p>
        </w:tc>
        <w:tc>
          <w:tcPr>
            <w:tcW w:type="dxa" w:w="288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Farm suppliers within 10 minutes - quality guarantee</w:t>
            </w:r>
          </w:p>
        </w:tc>
        <w:tc>
          <w:tcPr>
            <w:tcW w:type="dxa" w:w="2883"/>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sz w:val="19"/>
                <w:szCs w:val="19"/>
              </w:rPr>
              <w:t xml:space="preserve">HIGH</w:t>
            </w:r>
          </w:p>
        </w:tc>
      </w:tr>
    </w:tbl>
    <w:p>
      <w:pPr>
        <w:spacing w:before="120"/>
      </w:pPr>
    </w:p>
    <w:p>
      <w:pPr>
        <w:pStyle w:val="Heading2"/>
        <w:spacing w:after="100" w:before="280" w:line="360" w:lineRule="auto"/>
      </w:pPr>
      <w:r>
        <w:rPr>
          <w:rFonts w:ascii="Arial" w:cs="Arial" w:eastAsia="Arial" w:hAnsi="Arial"/>
          <w:b/>
          <w:bCs/>
          <w:color w:val="1F3461"/>
          <w:sz w:val="24"/>
          <w:szCs w:val="24"/>
        </w:rPr>
        <w:t xml:space="preserve">3.3 Current Risk &amp; Threat Modelling</w:t>
      </w:r>
    </w:p>
    <w:p>
      <w:pPr>
        <w:spacing w:after="80" w:before="80" w:line="360" w:lineRule="auto"/>
      </w:pPr>
      <w:r>
        <w:rPr>
          <w:rFonts w:ascii="Arial" w:cs="Arial" w:eastAsia="Arial" w:hAnsi="Arial"/>
          <w:b w:val="false"/>
          <w:bCs w:val="false"/>
          <w:sz w:val="24"/>
          <w:szCs w:val="24"/>
        </w:rPr>
        <w:t xml:space="preserve">The table below identifies and evaluates the key risks and threats to Pampered Pets in its current state:</w:t>
      </w:r>
    </w:p>
    <w:p>
      <w:pPr>
        <w:spacing w:before="100"/>
      </w:pP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3000"/>
        <w:gridCol w:w="1922"/>
        <w:gridCol w:w="1922"/>
        <w:gridCol w:w="1922"/>
      </w:tblGrid>
      <w:tr>
        <w:trPr>
          <w:tblHeader/>
        </w:trPr>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Risk / Threat</w:t>
            </w:r>
          </w:p>
        </w:tc>
        <w:tc>
          <w:tcPr>
            <w:tcW w:type="dxa" w:w="1922"/>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922"/>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922"/>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Malware or ransomware on networked computers</w:t>
            </w:r>
          </w:p>
        </w:tc>
        <w:tc>
          <w:tcPr>
            <w:tcW w:type="dxa" w:w="192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Medium</w:t>
            </w:r>
          </w:p>
        </w:tc>
        <w:tc>
          <w:tcPr>
            <w:tcW w:type="dxa" w:w="192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High</w:t>
            </w:r>
          </w:p>
        </w:tc>
        <w:tc>
          <w:tcPr>
            <w:tcW w:type="dxa" w:w="1922"/>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sz w:val="19"/>
                <w:szCs w:val="19"/>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Unauthorised access to warehouse spreadsheet data</w:t>
            </w:r>
          </w:p>
        </w:tc>
        <w:tc>
          <w:tcPr>
            <w:tcW w:type="dxa" w:w="19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Medium</w:t>
            </w:r>
          </w:p>
        </w:tc>
        <w:tc>
          <w:tcPr>
            <w:tcW w:type="dxa" w:w="19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Medium</w:t>
            </w:r>
          </w:p>
        </w:tc>
        <w:tc>
          <w:tcPr>
            <w:tcW w:type="dxa" w:w="1922"/>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MEDIUM</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Loss or breach of customer email order data</w:t>
            </w:r>
          </w:p>
        </w:tc>
        <w:tc>
          <w:tcPr>
            <w:tcW w:type="dxa" w:w="192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Low</w:t>
            </w:r>
          </w:p>
        </w:tc>
        <w:tc>
          <w:tcPr>
            <w:tcW w:type="dxa" w:w="192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High</w:t>
            </w:r>
          </w:p>
        </w:tc>
        <w:tc>
          <w:tcPr>
            <w:tcW w:type="dxa" w:w="1922"/>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Wi-Fi network interception / eavesdropping</w:t>
            </w:r>
          </w:p>
        </w:tc>
        <w:tc>
          <w:tcPr>
            <w:tcW w:type="dxa" w:w="19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Medium</w:t>
            </w:r>
          </w:p>
        </w:tc>
        <w:tc>
          <w:tcPr>
            <w:tcW w:type="dxa" w:w="19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Medium</w:t>
            </w:r>
          </w:p>
        </w:tc>
        <w:tc>
          <w:tcPr>
            <w:tcW w:type="dxa" w:w="1922"/>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MEDIUM</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Physical theft of hardware</w:t>
            </w:r>
          </w:p>
        </w:tc>
        <w:tc>
          <w:tcPr>
            <w:tcW w:type="dxa" w:w="192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Low</w:t>
            </w:r>
          </w:p>
        </w:tc>
        <w:tc>
          <w:tcPr>
            <w:tcW w:type="dxa" w:w="192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Medium</w:t>
            </w:r>
          </w:p>
        </w:tc>
        <w:tc>
          <w:tcPr>
            <w:tcW w:type="dxa" w:w="1922"/>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19"/>
                <w:szCs w:val="19"/>
              </w:rPr>
              <w:t xml:space="preserve">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Staff misuse of wireless network via smartphones</w:t>
            </w:r>
          </w:p>
        </w:tc>
        <w:tc>
          <w:tcPr>
            <w:tcW w:type="dxa" w:w="19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Medium</w:t>
            </w:r>
          </w:p>
        </w:tc>
        <w:tc>
          <w:tcPr>
            <w:tcW w:type="dxa" w:w="19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Low</w:t>
            </w:r>
          </w:p>
        </w:tc>
        <w:tc>
          <w:tcPr>
            <w:tcW w:type="dxa" w:w="1922"/>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sz w:val="19"/>
                <w:szCs w:val="19"/>
              </w:rPr>
              <w:t xml:space="preserve">LOW</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No online presence - risk of losing up to 33% of customers</w:t>
            </w:r>
          </w:p>
        </w:tc>
        <w:tc>
          <w:tcPr>
            <w:tcW w:type="dxa" w:w="192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High</w:t>
            </w:r>
          </w:p>
        </w:tc>
        <w:tc>
          <w:tcPr>
            <w:tcW w:type="dxa" w:w="192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High</w:t>
            </w:r>
          </w:p>
        </w:tc>
        <w:tc>
          <w:tcPr>
            <w:tcW w:type="dxa" w:w="1922"/>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sz w:val="19"/>
                <w:szCs w:val="19"/>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Local supply chain disruption (farm closures, shortages)</w:t>
            </w:r>
          </w:p>
        </w:tc>
        <w:tc>
          <w:tcPr>
            <w:tcW w:type="dxa" w:w="19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Low</w:t>
            </w:r>
          </w:p>
        </w:tc>
        <w:tc>
          <w:tcPr>
            <w:tcW w:type="dxa" w:w="19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High</w:t>
            </w:r>
          </w:p>
        </w:tc>
        <w:tc>
          <w:tcPr>
            <w:tcW w:type="dxa" w:w="1922"/>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MEDIUM</w:t>
            </w:r>
          </w:p>
        </w:tc>
      </w:tr>
    </w:tbl>
    <w:p>
      <w:pPr>
        <w:spacing w:before="120"/>
      </w:pPr>
    </w:p>
    <w:p>
      <w:pPr>
        <w:pStyle w:val="Heading2"/>
        <w:spacing w:after="100" w:before="280" w:line="360" w:lineRule="auto"/>
      </w:pPr>
      <w:r>
        <w:rPr>
          <w:rFonts w:ascii="Arial" w:cs="Arial" w:eastAsia="Arial" w:hAnsi="Arial"/>
          <w:b/>
          <w:bCs/>
          <w:color w:val="1F3461"/>
          <w:sz w:val="24"/>
          <w:szCs w:val="24"/>
        </w:rPr>
        <w:t xml:space="preserve">3.4 Current Risk Mitigations</w:t>
      </w:r>
    </w:p>
    <w:p>
      <w:pPr>
        <w:pStyle w:val="ListParagraph"/>
        <w:numPr>
          <w:ilvl w:val="0"/>
          <w:numId w:val="2"/>
        </w:numPr>
        <w:spacing w:after="60" w:before="60" w:line="360" w:lineRule="auto"/>
      </w:pPr>
      <w:r>
        <w:rPr>
          <w:rFonts w:ascii="Arial" w:cs="Arial" w:eastAsia="Arial" w:hAnsi="Arial"/>
          <w:sz w:val="24"/>
          <w:szCs w:val="24"/>
        </w:rPr>
        <w:t xml:space="preserve">Install and regularly update antivirus/anti-malware software on all networked computers.</w:t>
      </w:r>
    </w:p>
    <w:p>
      <w:pPr>
        <w:pStyle w:val="ListParagraph"/>
        <w:numPr>
          <w:ilvl w:val="0"/>
          <w:numId w:val="2"/>
        </w:numPr>
        <w:spacing w:after="60" w:before="60" w:line="360" w:lineRule="auto"/>
      </w:pPr>
      <w:r>
        <w:rPr>
          <w:rFonts w:ascii="Arial" w:cs="Arial" w:eastAsia="Arial" w:hAnsi="Arial"/>
          <w:sz w:val="24"/>
          <w:szCs w:val="24"/>
        </w:rPr>
        <w:t xml:space="preserve">Implement strong password policies and user-level access controls on all devices.</w:t>
      </w:r>
    </w:p>
    <w:p>
      <w:pPr>
        <w:pStyle w:val="ListParagraph"/>
        <w:numPr>
          <w:ilvl w:val="0"/>
          <w:numId w:val="2"/>
        </w:numPr>
        <w:spacing w:after="60" w:before="60" w:line="360" w:lineRule="auto"/>
      </w:pPr>
      <w:r>
        <w:rPr>
          <w:rFonts w:ascii="Arial" w:cs="Arial" w:eastAsia="Arial" w:hAnsi="Arial"/>
          <w:sz w:val="24"/>
          <w:szCs w:val="24"/>
        </w:rPr>
        <w:t xml:space="preserve">Encrypt and back up customer email data to a secure off-site or cloud location.</w:t>
      </w:r>
    </w:p>
    <w:p>
      <w:pPr>
        <w:pStyle w:val="ListParagraph"/>
        <w:numPr>
          <w:ilvl w:val="0"/>
          <w:numId w:val="2"/>
        </w:numPr>
        <w:spacing w:after="60" w:before="60" w:line="360" w:lineRule="auto"/>
      </w:pPr>
      <w:r>
        <w:rPr>
          <w:rFonts w:ascii="Arial" w:cs="Arial" w:eastAsia="Arial" w:hAnsi="Arial"/>
          <w:sz w:val="24"/>
          <w:szCs w:val="24"/>
        </w:rPr>
        <w:t xml:space="preserve">Secure the Wi-Fi with WPA3 encryption and change all default router credentials.</w:t>
      </w:r>
    </w:p>
    <w:p>
      <w:pPr>
        <w:pStyle w:val="ListParagraph"/>
        <w:numPr>
          <w:ilvl w:val="0"/>
          <w:numId w:val="2"/>
        </w:numPr>
        <w:spacing w:after="60" w:before="60" w:line="360" w:lineRule="auto"/>
      </w:pPr>
      <w:r>
        <w:rPr>
          <w:rFonts w:ascii="Arial" w:cs="Arial" w:eastAsia="Arial" w:hAnsi="Arial"/>
          <w:sz w:val="24"/>
          <w:szCs w:val="24"/>
        </w:rPr>
        <w:t xml:space="preserve">Physically secure computers with cable locks and install CCTV on the premises.</w:t>
      </w:r>
    </w:p>
    <w:p>
      <w:pPr>
        <w:pStyle w:val="ListParagraph"/>
        <w:numPr>
          <w:ilvl w:val="0"/>
          <w:numId w:val="2"/>
        </w:numPr>
        <w:spacing w:after="60" w:before="60" w:line="360" w:lineRule="auto"/>
      </w:pPr>
      <w:r>
        <w:rPr>
          <w:rFonts w:ascii="Arial" w:cs="Arial" w:eastAsia="Arial" w:hAnsi="Arial"/>
          <w:sz w:val="24"/>
          <w:szCs w:val="24"/>
        </w:rPr>
        <w:t xml:space="preserve">Develop an IT Acceptable Use Policy (AUP) covering staff smartphone and network use.</w:t>
      </w:r>
    </w:p>
    <w:p>
      <w:pPr>
        <w:pStyle w:val="ListParagraph"/>
        <w:numPr>
          <w:ilvl w:val="0"/>
          <w:numId w:val="2"/>
        </w:numPr>
        <w:spacing w:after="60" w:before="60" w:line="360" w:lineRule="auto"/>
      </w:pPr>
      <w:r>
        <w:rPr>
          <w:rFonts w:ascii="Arial" w:cs="Arial" w:eastAsia="Arial" w:hAnsi="Arial"/>
          <w:sz w:val="24"/>
          <w:szCs w:val="24"/>
        </w:rPr>
        <w:t xml:space="preserve">Launch a basic online presence (website/social media) to mitigate customer attrition.</w:t>
      </w:r>
    </w:p>
    <w:p>
      <w:pPr>
        <w:pStyle w:val="ListParagraph"/>
        <w:numPr>
          <w:ilvl w:val="0"/>
          <w:numId w:val="2"/>
        </w:numPr>
        <w:spacing w:after="60" w:before="60" w:line="360" w:lineRule="auto"/>
      </w:pPr>
      <w:r>
        <w:rPr>
          <w:rFonts w:ascii="Arial" w:cs="Arial" w:eastAsia="Arial" w:hAnsi="Arial"/>
          <w:sz w:val="24"/>
          <w:szCs w:val="24"/>
        </w:rPr>
        <w:t xml:space="preserve">Maintain supplier relationships and hold a small buffer stock as contingency.</w:t>
      </w:r>
    </w:p>
    <w:p>
      <w:r>
        <w:br w:type="page"/>
      </w:r>
    </w:p>
    <w:p>
      <w:pPr>
        <w:pStyle w:val="Heading1"/>
        <w:spacing w:after="120" w:before="360" w:line="360" w:lineRule="auto"/>
      </w:pPr>
      <w:r>
        <w:rPr>
          <w:rFonts w:ascii="Arial" w:cs="Arial" w:eastAsia="Arial" w:hAnsi="Arial"/>
          <w:b/>
          <w:bCs/>
          <w:color w:val="2E4A7A"/>
          <w:sz w:val="26"/>
          <w:szCs w:val="26"/>
        </w:rPr>
        <w:t xml:space="preserve">4. Risk Assessment: Proposed Digitalisation</w:t>
      </w:r>
    </w:p>
    <w:p>
      <w:pPr>
        <w:pStyle w:val="Heading2"/>
        <w:spacing w:after="100" w:before="280" w:line="360" w:lineRule="auto"/>
      </w:pPr>
      <w:r>
        <w:rPr>
          <w:rFonts w:ascii="Arial" w:cs="Arial" w:eastAsia="Arial" w:hAnsi="Arial"/>
          <w:b/>
          <w:bCs/>
          <w:color w:val="1F3461"/>
          <w:sz w:val="24"/>
          <w:szCs w:val="24"/>
        </w:rPr>
        <w:t xml:space="preserve">4.1 Risk Assessment Methodology</w:t>
      </w:r>
    </w:p>
    <w:p>
      <w:pPr>
        <w:spacing w:after="80" w:before="80" w:line="360" w:lineRule="auto"/>
      </w:pPr>
      <w:r>
        <w:rPr>
          <w:rFonts w:ascii="Arial" w:cs="Arial" w:eastAsia="Arial" w:hAnsi="Arial"/>
          <w:b w:val="false"/>
          <w:bCs w:val="false"/>
          <w:sz w:val="24"/>
          <w:szCs w:val="24"/>
        </w:rPr>
        <w:t xml:space="preserve">OCTAVE Allegro was selected for evaluating the proposed digitalisation (CERT Division, Carnegie Mellon University, 2007). It is specifically designed to assess information security risks during organisational change, considering human, operational, and technological dimensions simultaneously - essential when a traditionally offline business transitions to online operations.</w:t>
      </w:r>
    </w:p>
    <w:p>
      <w:pPr>
        <w:spacing w:after="80" w:before="80"/>
      </w:pPr>
      <w:r>
        <w:t xml:space="preserve"/>
      </w:r>
    </w:p>
    <w:p>
      <w:pPr>
        <w:pStyle w:val="Heading2"/>
        <w:spacing w:after="100" w:before="280" w:line="360" w:lineRule="auto"/>
      </w:pPr>
      <w:r>
        <w:rPr>
          <w:rFonts w:ascii="Arial" w:cs="Arial" w:eastAsia="Arial" w:hAnsi="Arial"/>
          <w:b/>
          <w:bCs/>
          <w:color w:val="1F3461"/>
          <w:sz w:val="24"/>
          <w:szCs w:val="24"/>
        </w:rPr>
        <w:t xml:space="preserve">4.2 Proposed Digitalisation Changes</w:t>
      </w:r>
    </w:p>
    <w:p>
      <w:pPr>
        <w:pStyle w:val="ListParagraph"/>
        <w:numPr>
          <w:ilvl w:val="0"/>
          <w:numId w:val="2"/>
        </w:numPr>
        <w:spacing w:after="60" w:before="60" w:line="360" w:lineRule="auto"/>
      </w:pPr>
      <w:r>
        <w:rPr>
          <w:rFonts w:ascii="Arial" w:cs="Arial" w:eastAsia="Arial" w:hAnsi="Arial"/>
          <w:sz w:val="24"/>
          <w:szCs w:val="24"/>
        </w:rPr>
        <w:t xml:space="preserve">E-commerce portal: Allow customers to browse, order, and pay online, addressing the potential 50% growth opportunity.</w:t>
      </w:r>
    </w:p>
    <w:p>
      <w:pPr>
        <w:pStyle w:val="ListParagraph"/>
        <w:numPr>
          <w:ilvl w:val="0"/>
          <w:numId w:val="2"/>
        </w:numPr>
        <w:spacing w:after="60" w:before="60" w:line="360" w:lineRule="auto"/>
      </w:pPr>
      <w:r>
        <w:rPr>
          <w:rFonts w:ascii="Arial" w:cs="Arial" w:eastAsia="Arial" w:hAnsi="Arial"/>
          <w:sz w:val="24"/>
          <w:szCs w:val="24"/>
        </w:rPr>
        <w:t xml:space="preserve">Online marketing and social media: Blog, social media, and SEO to attract customers locally and internationally.</w:t>
      </w:r>
    </w:p>
    <w:p>
      <w:pPr>
        <w:pStyle w:val="ListParagraph"/>
        <w:numPr>
          <w:ilvl w:val="0"/>
          <w:numId w:val="2"/>
        </w:numPr>
        <w:spacing w:after="60" w:before="60" w:line="360" w:lineRule="auto"/>
      </w:pPr>
      <w:r>
        <w:rPr>
          <w:rFonts w:ascii="Arial" w:cs="Arial" w:eastAsia="Arial" w:hAnsi="Arial"/>
          <w:sz w:val="24"/>
          <w:szCs w:val="24"/>
        </w:rPr>
        <w:t xml:space="preserve">CRM system: Digital records of customer preferences to improve service quality.</w:t>
      </w:r>
    </w:p>
    <w:p>
      <w:pPr>
        <w:pStyle w:val="ListParagraph"/>
        <w:numPr>
          <w:ilvl w:val="0"/>
          <w:numId w:val="2"/>
        </w:numPr>
        <w:spacing w:after="60" w:before="60" w:line="360" w:lineRule="auto"/>
      </w:pPr>
      <w:r>
        <w:rPr>
          <w:rFonts w:ascii="Arial" w:cs="Arial" w:eastAsia="Arial" w:hAnsi="Arial"/>
          <w:sz w:val="24"/>
          <w:szCs w:val="24"/>
        </w:rPr>
        <w:t xml:space="preserve">Upgraded internal network: Secure, segmented business network to support digital operations.</w:t>
      </w:r>
    </w:p>
    <w:p>
      <w:pPr>
        <w:spacing w:after="80" w:before="80"/>
      </w:pPr>
      <w:r>
        <w:t xml:space="preserve"/>
      </w:r>
    </w:p>
    <w:p>
      <w:pPr>
        <w:pStyle w:val="Heading2"/>
        <w:spacing w:after="100" w:before="280" w:line="360" w:lineRule="auto"/>
      </w:pPr>
      <w:r>
        <w:rPr>
          <w:rFonts w:ascii="Arial" w:cs="Arial" w:eastAsia="Arial" w:hAnsi="Arial"/>
          <w:b/>
          <w:bCs/>
          <w:color w:val="1F3461"/>
          <w:sz w:val="24"/>
          <w:szCs w:val="24"/>
        </w:rPr>
        <w:t xml:space="preserve">4.3 Digitalisation Risk &amp; Threat Modelling</w:t>
      </w:r>
    </w:p>
    <w:p>
      <w:pPr>
        <w:spacing w:after="80" w:before="80" w:line="360" w:lineRule="auto"/>
      </w:pPr>
      <w:r>
        <w:rPr>
          <w:rFonts w:ascii="Arial" w:cs="Arial" w:eastAsia="Arial" w:hAnsi="Arial"/>
          <w:b w:val="false"/>
          <w:bCs w:val="false"/>
          <w:sz w:val="24"/>
          <w:szCs w:val="24"/>
        </w:rPr>
        <w:t xml:space="preserve">The table below evaluates risks introduced by the proposed digitalisation process:</w:t>
      </w:r>
    </w:p>
    <w:p>
      <w:pPr>
        <w:spacing w:before="100"/>
      </w:pP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3000"/>
        <w:gridCol w:w="1922"/>
        <w:gridCol w:w="1922"/>
        <w:gridCol w:w="1922"/>
      </w:tblGrid>
      <w:tr>
        <w:trPr>
          <w:tblHeader/>
        </w:trPr>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Risk / Threat</w:t>
            </w:r>
          </w:p>
        </w:tc>
        <w:tc>
          <w:tcPr>
            <w:tcW w:type="dxa" w:w="1922"/>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922"/>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922"/>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E-commerce site hacked or defaced</w:t>
            </w:r>
          </w:p>
        </w:tc>
        <w:tc>
          <w:tcPr>
            <w:tcW w:type="dxa" w:w="192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Medium</w:t>
            </w:r>
          </w:p>
        </w:tc>
        <w:tc>
          <w:tcPr>
            <w:tcW w:type="dxa" w:w="192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High</w:t>
            </w:r>
          </w:p>
        </w:tc>
        <w:tc>
          <w:tcPr>
            <w:tcW w:type="dxa" w:w="1922"/>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sz w:val="19"/>
                <w:szCs w:val="19"/>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Customer payment data breach (GDPR violation)</w:t>
            </w:r>
          </w:p>
        </w:tc>
        <w:tc>
          <w:tcPr>
            <w:tcW w:type="dxa" w:w="19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Medium</w:t>
            </w:r>
          </w:p>
        </w:tc>
        <w:tc>
          <w:tcPr>
            <w:tcW w:type="dxa" w:w="19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Very High</w:t>
            </w:r>
          </w:p>
        </w:tc>
        <w:tc>
          <w:tcPr>
            <w:tcW w:type="dxa" w:w="1922"/>
            <w:tcBorders>
              <w:top w:val="single" w:color="CCCCCC" w:sz="1"/>
              <w:left w:val="single" w:color="CCCCCC" w:sz="1"/>
              <w:bottom w:val="single" w:color="CCCCCC" w:sz="1"/>
              <w:right w:val="single" w:color="CCCCCC" w:sz="1"/>
            </w:tcBorders>
            <w:shd w:fill="FFB3B3" w:val="clear"/>
            <w:tcMar>
              <w:top w:type="dxa" w:w="80"/>
              <w:left w:type="dxa" w:w="120"/>
              <w:bottom w:type="dxa" w:w="80"/>
              <w:right w:type="dxa" w:w="120"/>
            </w:tcMar>
          </w:tcPr>
          <w:p>
            <w:r>
              <w:rPr>
                <w:rFonts w:ascii="Arial" w:cs="Arial" w:eastAsia="Arial" w:hAnsi="Arial"/>
                <w:b/>
                <w:bCs/>
                <w:sz w:val="19"/>
                <w:szCs w:val="19"/>
              </w:rPr>
              <w:t xml:space="preserve">CRITICAL</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DDoS attack causing website downtime</w:t>
            </w:r>
          </w:p>
        </w:tc>
        <w:tc>
          <w:tcPr>
            <w:tcW w:type="dxa" w:w="192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Low</w:t>
            </w:r>
          </w:p>
        </w:tc>
        <w:tc>
          <w:tcPr>
            <w:tcW w:type="dxa" w:w="192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High</w:t>
            </w:r>
          </w:p>
        </w:tc>
        <w:tc>
          <w:tcPr>
            <w:tcW w:type="dxa" w:w="1922"/>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Phishing attacks targeting staff via email</w:t>
            </w:r>
          </w:p>
        </w:tc>
        <w:tc>
          <w:tcPr>
            <w:tcW w:type="dxa" w:w="19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High</w:t>
            </w:r>
          </w:p>
        </w:tc>
        <w:tc>
          <w:tcPr>
            <w:tcW w:type="dxa" w:w="19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High</w:t>
            </w:r>
          </w:p>
        </w:tc>
        <w:tc>
          <w:tcPr>
            <w:tcW w:type="dxa" w:w="1922"/>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sz w:val="19"/>
                <w:szCs w:val="19"/>
              </w:rPr>
              <w:t xml:space="preserve">HIGH</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International supply chain quality or cost risks</w:t>
            </w:r>
          </w:p>
        </w:tc>
        <w:tc>
          <w:tcPr>
            <w:tcW w:type="dxa" w:w="192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Medium</w:t>
            </w:r>
          </w:p>
        </w:tc>
        <w:tc>
          <w:tcPr>
            <w:tcW w:type="dxa" w:w="192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Medium</w:t>
            </w:r>
          </w:p>
        </w:tc>
        <w:tc>
          <w:tcPr>
            <w:tcW w:type="dxa" w:w="1922"/>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Staff lacking digital skills leading to errors or data loss</w:t>
            </w:r>
          </w:p>
        </w:tc>
        <w:tc>
          <w:tcPr>
            <w:tcW w:type="dxa" w:w="19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High</w:t>
            </w:r>
          </w:p>
        </w:tc>
        <w:tc>
          <w:tcPr>
            <w:tcW w:type="dxa" w:w="19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Medium</w:t>
            </w:r>
          </w:p>
        </w:tc>
        <w:tc>
          <w:tcPr>
            <w:tcW w:type="dxa" w:w="1922"/>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sz w:val="19"/>
                <w:szCs w:val="19"/>
              </w:rPr>
              <w:t xml:space="preserve">HIGH</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Reputational damage from negative online reviews</w:t>
            </w:r>
          </w:p>
        </w:tc>
        <w:tc>
          <w:tcPr>
            <w:tcW w:type="dxa" w:w="192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Medium</w:t>
            </w:r>
          </w:p>
        </w:tc>
        <w:tc>
          <w:tcPr>
            <w:tcW w:type="dxa" w:w="192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Medium</w:t>
            </w:r>
          </w:p>
        </w:tc>
        <w:tc>
          <w:tcPr>
            <w:tcW w:type="dxa" w:w="1922"/>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GDPR non-compliance when storing customer data</w:t>
            </w:r>
          </w:p>
        </w:tc>
        <w:tc>
          <w:tcPr>
            <w:tcW w:type="dxa" w:w="19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Medium</w:t>
            </w:r>
          </w:p>
        </w:tc>
        <w:tc>
          <w:tcPr>
            <w:tcW w:type="dxa" w:w="19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Very High</w:t>
            </w:r>
          </w:p>
        </w:tc>
        <w:tc>
          <w:tcPr>
            <w:tcW w:type="dxa" w:w="1922"/>
            <w:tcBorders>
              <w:top w:val="single" w:color="CCCCCC" w:sz="1"/>
              <w:left w:val="single" w:color="CCCCCC" w:sz="1"/>
              <w:bottom w:val="single" w:color="CCCCCC" w:sz="1"/>
              <w:right w:val="single" w:color="CCCCCC" w:sz="1"/>
            </w:tcBorders>
            <w:shd w:fill="FFB3B3" w:val="clear"/>
            <w:tcMar>
              <w:top w:type="dxa" w:w="80"/>
              <w:left w:type="dxa" w:w="120"/>
              <w:bottom w:type="dxa" w:w="80"/>
              <w:right w:type="dxa" w:w="120"/>
            </w:tcMar>
          </w:tcPr>
          <w:p>
            <w:r>
              <w:rPr>
                <w:rFonts w:ascii="Arial" w:cs="Arial" w:eastAsia="Arial" w:hAnsi="Arial"/>
                <w:b/>
                <w:bCs/>
                <w:sz w:val="19"/>
                <w:szCs w:val="19"/>
              </w:rPr>
              <w:t xml:space="preserve">CRITICAL</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Over-reliance on technology and system failure</w:t>
            </w:r>
          </w:p>
        </w:tc>
        <w:tc>
          <w:tcPr>
            <w:tcW w:type="dxa" w:w="192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Low</w:t>
            </w:r>
          </w:p>
        </w:tc>
        <w:tc>
          <w:tcPr>
            <w:tcW w:type="dxa" w:w="192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High</w:t>
            </w:r>
          </w:p>
        </w:tc>
        <w:tc>
          <w:tcPr>
            <w:tcW w:type="dxa" w:w="1922"/>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MEDIUM</w:t>
            </w:r>
          </w:p>
        </w:tc>
      </w:tr>
    </w:tbl>
    <w:p>
      <w:pPr>
        <w:spacing w:after="80" w:before="160"/>
      </w:pPr>
      <w:r>
        <w:rPr>
          <w:rFonts w:ascii="Arial" w:cs="Arial" w:eastAsia="Arial" w:hAnsi="Arial"/>
          <w:b/>
          <w:bCs/>
          <w:color w:val="1F3461"/>
          <w:sz w:val="22"/>
          <w:szCs w:val="22"/>
        </w:rPr>
        <w:t xml:space="preserve">STRIDE Threat Analysis (Digitalisation)</w:t>
      </w:r>
    </w:p>
    <w:p>
      <w:pPr>
        <w:spacing w:after="80" w:before="80" w:line="360" w:lineRule="auto"/>
      </w:pPr>
      <w:r>
        <w:rPr>
          <w:rFonts w:ascii="Arial" w:cs="Arial" w:eastAsia="Arial" w:hAnsi="Arial"/>
          <w:b w:val="false"/>
          <w:bCs w:val="false"/>
          <w:sz w:val="24"/>
          <w:szCs w:val="24"/>
        </w:rPr>
        <w:t xml:space="preserve">The STRIDE model is applied below to identify specific threat categories relevant to the proposed digital systems:</w:t>
      </w:r>
    </w:p>
    <w:p>
      <w:pPr>
        <w:spacing w:before="100"/>
      </w:pP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3000"/>
        <w:gridCol w:w="1922"/>
        <w:gridCol w:w="1922"/>
        <w:gridCol w:w="1922"/>
      </w:tblGrid>
      <w:tr>
        <w:trPr>
          <w:tblHeader/>
        </w:trPr>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STRIDE Category</w:t>
            </w:r>
          </w:p>
        </w:tc>
        <w:tc>
          <w:tcPr>
            <w:tcW w:type="dxa" w:w="1922"/>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Threat Example</w:t>
            </w:r>
          </w:p>
        </w:tc>
        <w:tc>
          <w:tcPr>
            <w:tcW w:type="dxa" w:w="1922"/>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Affected Asset</w:t>
            </w:r>
          </w:p>
        </w:tc>
        <w:tc>
          <w:tcPr>
            <w:tcW w:type="dxa" w:w="1922"/>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Spoofing</w:t>
            </w:r>
          </w:p>
        </w:tc>
        <w:tc>
          <w:tcPr>
            <w:tcW w:type="dxa" w:w="192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Attacker impersonates a customer or staff member to access systems</w:t>
            </w:r>
          </w:p>
        </w:tc>
        <w:tc>
          <w:tcPr>
            <w:tcW w:type="dxa" w:w="192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CRM / Customer Accounts</w:t>
            </w:r>
          </w:p>
        </w:tc>
        <w:tc>
          <w:tcPr>
            <w:tcW w:type="dxa" w:w="1922"/>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sz w:val="19"/>
                <w:szCs w:val="19"/>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Tampering</w:t>
            </w:r>
          </w:p>
        </w:tc>
        <w:tc>
          <w:tcPr>
            <w:tcW w:type="dxa" w:w="19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Unauthorised modification of product prices or order data on e-commerce portal</w:t>
            </w:r>
          </w:p>
        </w:tc>
        <w:tc>
          <w:tcPr>
            <w:tcW w:type="dxa" w:w="19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E-commerce Database</w:t>
            </w:r>
          </w:p>
        </w:tc>
        <w:tc>
          <w:tcPr>
            <w:tcW w:type="dxa" w:w="1922"/>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sz w:val="19"/>
                <w:szCs w:val="19"/>
              </w:rPr>
              <w:t xml:space="preserve">HIGH</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Repudiation</w:t>
            </w:r>
          </w:p>
        </w:tc>
        <w:tc>
          <w:tcPr>
            <w:tcW w:type="dxa" w:w="192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Customer denies placing an order; no audit trail to verify</w:t>
            </w:r>
          </w:p>
        </w:tc>
        <w:tc>
          <w:tcPr>
            <w:tcW w:type="dxa" w:w="192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Order Management System</w:t>
            </w:r>
          </w:p>
        </w:tc>
        <w:tc>
          <w:tcPr>
            <w:tcW w:type="dxa" w:w="1922"/>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9"/>
                <w:szCs w:val="19"/>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Information Disclosure</w:t>
            </w:r>
          </w:p>
        </w:tc>
        <w:tc>
          <w:tcPr>
            <w:tcW w:type="dxa" w:w="19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Customer personal and payment data leaked in a breach</w:t>
            </w:r>
          </w:p>
        </w:tc>
        <w:tc>
          <w:tcPr>
            <w:tcW w:type="dxa" w:w="19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Customer Database</w:t>
            </w:r>
          </w:p>
        </w:tc>
        <w:tc>
          <w:tcPr>
            <w:tcW w:type="dxa" w:w="1922"/>
            <w:tcBorders>
              <w:top w:val="single" w:color="CCCCCC" w:sz="1"/>
              <w:left w:val="single" w:color="CCCCCC" w:sz="1"/>
              <w:bottom w:val="single" w:color="CCCCCC" w:sz="1"/>
              <w:right w:val="single" w:color="CCCCCC" w:sz="1"/>
            </w:tcBorders>
            <w:shd w:fill="FFB3B3" w:val="clear"/>
            <w:tcMar>
              <w:top w:type="dxa" w:w="80"/>
              <w:left w:type="dxa" w:w="120"/>
              <w:bottom w:type="dxa" w:w="80"/>
              <w:right w:type="dxa" w:w="120"/>
            </w:tcMar>
          </w:tcPr>
          <w:p>
            <w:r>
              <w:rPr>
                <w:rFonts w:ascii="Arial" w:cs="Arial" w:eastAsia="Arial" w:hAnsi="Arial"/>
                <w:b/>
                <w:bCs/>
                <w:sz w:val="19"/>
                <w:szCs w:val="19"/>
              </w:rPr>
              <w:t xml:space="preserve">CRITICAL</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Denial of Service</w:t>
            </w:r>
          </w:p>
        </w:tc>
        <w:tc>
          <w:tcPr>
            <w:tcW w:type="dxa" w:w="192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DDoS attack renders the website unavailable during peak trading</w:t>
            </w:r>
          </w:p>
        </w:tc>
        <w:tc>
          <w:tcPr>
            <w:tcW w:type="dxa" w:w="1922"/>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sz w:val="19"/>
                <w:szCs w:val="19"/>
              </w:rPr>
              <w:t xml:space="preserve">Web Server</w:t>
            </w:r>
          </w:p>
        </w:tc>
        <w:tc>
          <w:tcPr>
            <w:tcW w:type="dxa" w:w="1922"/>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sz w:val="19"/>
                <w:szCs w:val="19"/>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Elevation of Privilege</w:t>
            </w:r>
          </w:p>
        </w:tc>
        <w:tc>
          <w:tcPr>
            <w:tcW w:type="dxa" w:w="19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Staff member gains admin-level access beyond their role</w:t>
            </w:r>
          </w:p>
        </w:tc>
        <w:tc>
          <w:tcPr>
            <w:tcW w:type="dxa" w:w="19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CRM / Backend Systems</w:t>
            </w:r>
          </w:p>
        </w:tc>
        <w:tc>
          <w:tcPr>
            <w:tcW w:type="dxa" w:w="1922"/>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sz w:val="19"/>
                <w:szCs w:val="19"/>
              </w:rPr>
              <w:t xml:space="preserve">HIGH</w:t>
            </w:r>
          </w:p>
        </w:tc>
      </w:tr>
    </w:tbl>
    <w:p>
      <w:pPr>
        <w:spacing w:before="120"/>
      </w:pPr>
    </w:p>
    <w:p>
      <w:pPr>
        <w:pStyle w:val="Heading2"/>
        <w:spacing w:after="100" w:before="280" w:line="360" w:lineRule="auto"/>
      </w:pPr>
      <w:r>
        <w:rPr>
          <w:rFonts w:ascii="Arial" w:cs="Arial" w:eastAsia="Arial" w:hAnsi="Arial"/>
          <w:b/>
          <w:bCs/>
          <w:color w:val="1F3461"/>
          <w:sz w:val="24"/>
          <w:szCs w:val="24"/>
        </w:rPr>
        <w:t xml:space="preserve">4.4 Digitalisation Risk Mitigations</w:t>
      </w:r>
    </w:p>
    <w:p>
      <w:pPr>
        <w:pStyle w:val="ListParagraph"/>
        <w:numPr>
          <w:ilvl w:val="0"/>
          <w:numId w:val="2"/>
        </w:numPr>
        <w:spacing w:after="60" w:before="60" w:line="360" w:lineRule="auto"/>
      </w:pPr>
      <w:r>
        <w:rPr>
          <w:rFonts w:ascii="Arial" w:cs="Arial" w:eastAsia="Arial" w:hAnsi="Arial"/>
          <w:sz w:val="24"/>
          <w:szCs w:val="24"/>
        </w:rPr>
        <w:t xml:space="preserve">Engage a security-experienced web developer to build the e-commerce portal with SSL/TLS and a Web Application Firewall (WAF).</w:t>
      </w:r>
    </w:p>
    <w:p>
      <w:pPr>
        <w:pStyle w:val="ListParagraph"/>
        <w:numPr>
          <w:ilvl w:val="0"/>
          <w:numId w:val="2"/>
        </w:numPr>
        <w:spacing w:after="60" w:before="60" w:line="360" w:lineRule="auto"/>
      </w:pPr>
      <w:r>
        <w:rPr>
          <w:rFonts w:ascii="Arial" w:cs="Arial" w:eastAsia="Arial" w:hAnsi="Arial"/>
          <w:sz w:val="24"/>
          <w:szCs w:val="24"/>
        </w:rPr>
        <w:t xml:space="preserve">Use a PCI-DSS compliant payment gateway (e.g. Stripe or PayPal) to protect payment data and ensure GDPR compliance (ICO, 2023).</w:t>
      </w:r>
    </w:p>
    <w:p>
      <w:pPr>
        <w:pStyle w:val="ListParagraph"/>
        <w:numPr>
          <w:ilvl w:val="0"/>
          <w:numId w:val="2"/>
        </w:numPr>
        <w:spacing w:after="60" w:before="60" w:line="360" w:lineRule="auto"/>
      </w:pPr>
      <w:r>
        <w:rPr>
          <w:rFonts w:ascii="Arial" w:cs="Arial" w:eastAsia="Arial" w:hAnsi="Arial"/>
          <w:sz w:val="24"/>
          <w:szCs w:val="24"/>
        </w:rPr>
        <w:t xml:space="preserve">Implement DDoS protection and conduct regular penetration testing.</w:t>
      </w:r>
    </w:p>
    <w:p>
      <w:pPr>
        <w:pStyle w:val="ListParagraph"/>
        <w:numPr>
          <w:ilvl w:val="0"/>
          <w:numId w:val="2"/>
        </w:numPr>
        <w:spacing w:after="60" w:before="60" w:line="360" w:lineRule="auto"/>
      </w:pPr>
      <w:r>
        <w:rPr>
          <w:rFonts w:ascii="Arial" w:cs="Arial" w:eastAsia="Arial" w:hAnsi="Arial"/>
          <w:sz w:val="24"/>
          <w:szCs w:val="24"/>
        </w:rPr>
        <w:t xml:space="preserve">Conduct structured staff training on phishing awareness before go-live.</w:t>
      </w:r>
    </w:p>
    <w:p>
      <w:pPr>
        <w:pStyle w:val="ListParagraph"/>
        <w:numPr>
          <w:ilvl w:val="0"/>
          <w:numId w:val="2"/>
        </w:numPr>
        <w:spacing w:after="60" w:before="60" w:line="360" w:lineRule="auto"/>
      </w:pPr>
      <w:r>
        <w:rPr>
          <w:rFonts w:ascii="Arial" w:cs="Arial" w:eastAsia="Arial" w:hAnsi="Arial"/>
          <w:sz w:val="24"/>
          <w:szCs w:val="24"/>
        </w:rPr>
        <w:t xml:space="preserve">Retain local suppliers as primary backup while evaluating international options for cost savings.</w:t>
      </w:r>
    </w:p>
    <w:p>
      <w:pPr>
        <w:pStyle w:val="ListParagraph"/>
        <w:numPr>
          <w:ilvl w:val="0"/>
          <w:numId w:val="2"/>
        </w:numPr>
        <w:spacing w:after="60" w:before="60" w:line="360" w:lineRule="auto"/>
      </w:pPr>
      <w:r>
        <w:rPr>
          <w:rFonts w:ascii="Arial" w:cs="Arial" w:eastAsia="Arial" w:hAnsi="Arial"/>
          <w:sz w:val="24"/>
          <w:szCs w:val="24"/>
        </w:rPr>
        <w:t xml:space="preserve">Assign a digital champion and provide digital skills training to all staff.</w:t>
      </w:r>
    </w:p>
    <w:p>
      <w:pPr>
        <w:pStyle w:val="ListParagraph"/>
        <w:numPr>
          <w:ilvl w:val="0"/>
          <w:numId w:val="2"/>
        </w:numPr>
        <w:spacing w:after="60" w:before="60" w:line="360" w:lineRule="auto"/>
      </w:pPr>
      <w:r>
        <w:rPr>
          <w:rFonts w:ascii="Arial" w:cs="Arial" w:eastAsia="Arial" w:hAnsi="Arial"/>
          <w:sz w:val="24"/>
          <w:szCs w:val="24"/>
        </w:rPr>
        <w:t xml:space="preserve">Establish a reputation management strategy and customer review response protocol.</w:t>
      </w:r>
    </w:p>
    <w:p>
      <w:pPr>
        <w:pStyle w:val="ListParagraph"/>
        <w:numPr>
          <w:ilvl w:val="0"/>
          <w:numId w:val="2"/>
        </w:numPr>
        <w:spacing w:after="60" w:before="60" w:line="360" w:lineRule="auto"/>
      </w:pPr>
      <w:r>
        <w:rPr>
          <w:rFonts w:ascii="Arial" w:cs="Arial" w:eastAsia="Arial" w:hAnsi="Arial"/>
          <w:sz w:val="24"/>
          <w:szCs w:val="24"/>
        </w:rPr>
        <w:t xml:space="preserve">Create a business continuity plan ensuring manual processes resume if systems fail.</w:t>
      </w:r>
    </w:p>
    <w:p>
      <w:r>
        <w:br w:type="page"/>
      </w:r>
    </w:p>
    <w:p>
      <w:pPr>
        <w:pStyle w:val="Heading1"/>
        <w:spacing w:after="120" w:before="360" w:line="360" w:lineRule="auto"/>
      </w:pPr>
      <w:r>
        <w:rPr>
          <w:rFonts w:ascii="Arial" w:cs="Arial" w:eastAsia="Arial" w:hAnsi="Arial"/>
          <w:b/>
          <w:bCs/>
          <w:color w:val="2E4A7A"/>
          <w:sz w:val="26"/>
          <w:szCs w:val="26"/>
        </w:rPr>
        <w:t xml:space="preserve">5. Recommendation</w:t>
      </w:r>
    </w:p>
    <w:p>
      <w:pPr>
        <w:spacing w:after="80" w:before="80" w:line="360" w:lineRule="auto"/>
      </w:pPr>
      <w:r>
        <w:rPr>
          <w:rFonts w:ascii="Arial" w:cs="Arial" w:eastAsia="Arial" w:hAnsi="Arial"/>
          <w:b w:val="false"/>
          <w:bCs w:val="false"/>
          <w:sz w:val="24"/>
          <w:szCs w:val="24"/>
        </w:rPr>
        <w:t xml:space="preserve">Having assessed the risks of both maintaining the status quo and proceeding with digitalisation, this team recommends that Pampered Pets proceed with a phased digitalisation process.</w:t>
      </w:r>
    </w:p>
    <w:p>
      <w:pPr>
        <w:spacing w:after="80" w:before="80" w:line="360" w:lineRule="auto"/>
      </w:pPr>
      <w:r>
        <w:rPr>
          <w:rFonts w:ascii="Arial" w:cs="Arial" w:eastAsia="Arial" w:hAnsi="Arial"/>
          <w:b w:val="false"/>
          <w:bCs w:val="false"/>
          <w:sz w:val="24"/>
          <w:szCs w:val="24"/>
        </w:rPr>
        <w:t xml:space="preserve">The current business faces significant risks by remaining entirely offline. There is a high probability of losing up to 33% of existing customers, and the business would forgo the opportunity to grow revenue by up to 50% (Calder and Watkins, 2019). The risks of inaction are greater than the risks of proceeding.</w:t>
      </w:r>
    </w:p>
    <w:p>
      <w:pPr>
        <w:spacing w:after="80" w:before="80" w:line="360" w:lineRule="auto"/>
      </w:pPr>
      <w:r>
        <w:rPr>
          <w:rFonts w:ascii="Arial" w:cs="Arial" w:eastAsia="Arial" w:hAnsi="Arial"/>
          <w:b w:val="false"/>
          <w:bCs w:val="false"/>
          <w:sz w:val="24"/>
          <w:szCs w:val="24"/>
        </w:rPr>
        <w:t xml:space="preserve">The most critical risks - customer payment data breaches and GDPR non-compliance - carry severe legal consequences and must be addressed before the e-commerce portal goes live. The recommended phased approach:</w:t>
      </w:r>
    </w:p>
    <w:p>
      <w:pPr>
        <w:pStyle w:val="ListParagraph"/>
        <w:numPr>
          <w:ilvl w:val="0"/>
          <w:numId w:val="2"/>
        </w:numPr>
        <w:spacing w:after="60" w:before="60" w:line="360" w:lineRule="auto"/>
      </w:pPr>
      <w:r>
        <w:rPr>
          <w:rFonts w:ascii="Arial" w:cs="Arial" w:eastAsia="Arial" w:hAnsi="Arial"/>
          <w:sz w:val="24"/>
          <w:szCs w:val="24"/>
        </w:rPr>
        <w:t xml:space="preserve">Phase 1 (Months 1-2): Secure existing IT infrastructure and launch a basic website and social media presence.</w:t>
      </w:r>
    </w:p>
    <w:p>
      <w:pPr>
        <w:pStyle w:val="ListParagraph"/>
        <w:numPr>
          <w:ilvl w:val="0"/>
          <w:numId w:val="2"/>
        </w:numPr>
        <w:spacing w:after="60" w:before="60" w:line="360" w:lineRule="auto"/>
      </w:pPr>
      <w:r>
        <w:rPr>
          <w:rFonts w:ascii="Arial" w:cs="Arial" w:eastAsia="Arial" w:hAnsi="Arial"/>
          <w:sz w:val="24"/>
          <w:szCs w:val="24"/>
        </w:rPr>
        <w:t xml:space="preserve">Phase 2 (Months 3-5): Develop and test the e-commerce portal with PCI-DSS compliant payments. Train all staff in digital tools and cybersecurity.</w:t>
      </w:r>
    </w:p>
    <w:p>
      <w:pPr>
        <w:pStyle w:val="ListParagraph"/>
        <w:numPr>
          <w:ilvl w:val="0"/>
          <w:numId w:val="2"/>
        </w:numPr>
        <w:spacing w:after="60" w:before="60" w:line="360" w:lineRule="auto"/>
      </w:pPr>
      <w:r>
        <w:rPr>
          <w:rFonts w:ascii="Arial" w:cs="Arial" w:eastAsia="Arial" w:hAnsi="Arial"/>
          <w:sz w:val="24"/>
          <w:szCs w:val="24"/>
        </w:rPr>
        <w:t xml:space="preserve">Phase 3 (Months 6+): Introduce CRM, begin international marketing and SEO. Review supply chain for selective international sourcing.</w:t>
      </w:r>
    </w:p>
    <w:p>
      <w:pPr>
        <w:spacing w:after="80" w:before="160"/>
      </w:pPr>
      <w:r>
        <w:rPr>
          <w:rFonts w:ascii="Arial" w:cs="Arial" w:eastAsia="Arial" w:hAnsi="Arial"/>
          <w:b/>
          <w:bCs/>
          <w:color w:val="1F3461"/>
          <w:sz w:val="24"/>
          <w:szCs w:val="24"/>
        </w:rPr>
        <w:t xml:space="preserve">Implementation Timeline</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3000"/>
        <w:gridCol w:w="720"/>
        <w:gridCol w:w="720"/>
        <w:gridCol w:w="720"/>
        <w:gridCol w:w="720"/>
        <w:gridCol w:w="720"/>
        <w:gridCol w:w="720"/>
        <w:gridCol w:w="720"/>
        <w:gridCol w:w="720"/>
      </w:tblGrid>
      <w:tr>
        <w:trPr>
          <w:tblHeader/>
        </w:trPr>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720"/>
            <w:tcBorders>
              <w:top w:val="single" w:color="2E4A7A" w:sz="1"/>
              <w:left w:val="single" w:color="2E4A7A" w:sz="1"/>
              <w:bottom w:val="single" w:color="2E4A7A" w:sz="1"/>
              <w:right w:val="single" w:color="2E4A7A" w:sz="1"/>
            </w:tcBorders>
            <w:shd w:fill="2E4A7A" w:val="clear"/>
            <w:tcMar>
              <w:top w:type="dxa" w:w="80"/>
              <w:left w:type="dxa" w:w="40"/>
              <w:bottom w:type="dxa" w:w="80"/>
              <w:right w:type="dxa" w:w="40"/>
            </w:tcMar>
          </w:tcPr>
          <w:p>
            <w:pPr>
              <w:jc w:val="center"/>
            </w:pPr>
            <w:r>
              <w:rPr>
                <w:rFonts w:ascii="Arial" w:cs="Arial" w:eastAsia="Arial" w:hAnsi="Arial"/>
                <w:b/>
                <w:bCs/>
                <w:color w:val="FFFFFF"/>
                <w:sz w:val="18"/>
                <w:szCs w:val="18"/>
              </w:rPr>
              <w:t xml:space="preserve">M1</w:t>
            </w:r>
          </w:p>
        </w:tc>
        <w:tc>
          <w:tcPr>
            <w:tcW w:type="dxa" w:w="720"/>
            <w:tcBorders>
              <w:top w:val="single" w:color="2E4A7A" w:sz="1"/>
              <w:left w:val="single" w:color="2E4A7A" w:sz="1"/>
              <w:bottom w:val="single" w:color="2E4A7A" w:sz="1"/>
              <w:right w:val="single" w:color="2E4A7A" w:sz="1"/>
            </w:tcBorders>
            <w:shd w:fill="2E4A7A" w:val="clear"/>
            <w:tcMar>
              <w:top w:type="dxa" w:w="80"/>
              <w:left w:type="dxa" w:w="40"/>
              <w:bottom w:type="dxa" w:w="80"/>
              <w:right w:type="dxa" w:w="40"/>
            </w:tcMar>
          </w:tcPr>
          <w:p>
            <w:pPr>
              <w:jc w:val="center"/>
            </w:pPr>
            <w:r>
              <w:rPr>
                <w:rFonts w:ascii="Arial" w:cs="Arial" w:eastAsia="Arial" w:hAnsi="Arial"/>
                <w:b/>
                <w:bCs/>
                <w:color w:val="FFFFFF"/>
                <w:sz w:val="18"/>
                <w:szCs w:val="18"/>
              </w:rPr>
              <w:t xml:space="preserve">M2</w:t>
            </w:r>
          </w:p>
        </w:tc>
        <w:tc>
          <w:tcPr>
            <w:tcW w:type="dxa" w:w="720"/>
            <w:tcBorders>
              <w:top w:val="single" w:color="2E4A7A" w:sz="1"/>
              <w:left w:val="single" w:color="2E4A7A" w:sz="1"/>
              <w:bottom w:val="single" w:color="2E4A7A" w:sz="1"/>
              <w:right w:val="single" w:color="2E4A7A" w:sz="1"/>
            </w:tcBorders>
            <w:shd w:fill="2E4A7A" w:val="clear"/>
            <w:tcMar>
              <w:top w:type="dxa" w:w="80"/>
              <w:left w:type="dxa" w:w="40"/>
              <w:bottom w:type="dxa" w:w="80"/>
              <w:right w:type="dxa" w:w="40"/>
            </w:tcMar>
          </w:tcPr>
          <w:p>
            <w:pPr>
              <w:jc w:val="center"/>
            </w:pPr>
            <w:r>
              <w:rPr>
                <w:rFonts w:ascii="Arial" w:cs="Arial" w:eastAsia="Arial" w:hAnsi="Arial"/>
                <w:b/>
                <w:bCs/>
                <w:color w:val="FFFFFF"/>
                <w:sz w:val="18"/>
                <w:szCs w:val="18"/>
              </w:rPr>
              <w:t xml:space="preserve">M3</w:t>
            </w:r>
          </w:p>
        </w:tc>
        <w:tc>
          <w:tcPr>
            <w:tcW w:type="dxa" w:w="720"/>
            <w:tcBorders>
              <w:top w:val="single" w:color="2E4A7A" w:sz="1"/>
              <w:left w:val="single" w:color="2E4A7A" w:sz="1"/>
              <w:bottom w:val="single" w:color="2E4A7A" w:sz="1"/>
              <w:right w:val="single" w:color="2E4A7A" w:sz="1"/>
            </w:tcBorders>
            <w:shd w:fill="2E4A7A" w:val="clear"/>
            <w:tcMar>
              <w:top w:type="dxa" w:w="80"/>
              <w:left w:type="dxa" w:w="40"/>
              <w:bottom w:type="dxa" w:w="80"/>
              <w:right w:type="dxa" w:w="40"/>
            </w:tcMar>
          </w:tcPr>
          <w:p>
            <w:pPr>
              <w:jc w:val="center"/>
            </w:pPr>
            <w:r>
              <w:rPr>
                <w:rFonts w:ascii="Arial" w:cs="Arial" w:eastAsia="Arial" w:hAnsi="Arial"/>
                <w:b/>
                <w:bCs/>
                <w:color w:val="FFFFFF"/>
                <w:sz w:val="18"/>
                <w:szCs w:val="18"/>
              </w:rPr>
              <w:t xml:space="preserve">M4</w:t>
            </w:r>
          </w:p>
        </w:tc>
        <w:tc>
          <w:tcPr>
            <w:tcW w:type="dxa" w:w="720"/>
            <w:tcBorders>
              <w:top w:val="single" w:color="2E4A7A" w:sz="1"/>
              <w:left w:val="single" w:color="2E4A7A" w:sz="1"/>
              <w:bottom w:val="single" w:color="2E4A7A" w:sz="1"/>
              <w:right w:val="single" w:color="2E4A7A" w:sz="1"/>
            </w:tcBorders>
            <w:shd w:fill="2E4A7A" w:val="clear"/>
            <w:tcMar>
              <w:top w:type="dxa" w:w="80"/>
              <w:left w:type="dxa" w:w="40"/>
              <w:bottom w:type="dxa" w:w="80"/>
              <w:right w:type="dxa" w:w="40"/>
            </w:tcMar>
          </w:tcPr>
          <w:p>
            <w:pPr>
              <w:jc w:val="center"/>
            </w:pPr>
            <w:r>
              <w:rPr>
                <w:rFonts w:ascii="Arial" w:cs="Arial" w:eastAsia="Arial" w:hAnsi="Arial"/>
                <w:b/>
                <w:bCs/>
                <w:color w:val="FFFFFF"/>
                <w:sz w:val="18"/>
                <w:szCs w:val="18"/>
              </w:rPr>
              <w:t xml:space="preserve">M5</w:t>
            </w:r>
          </w:p>
        </w:tc>
        <w:tc>
          <w:tcPr>
            <w:tcW w:type="dxa" w:w="720"/>
            <w:tcBorders>
              <w:top w:val="single" w:color="2E4A7A" w:sz="1"/>
              <w:left w:val="single" w:color="2E4A7A" w:sz="1"/>
              <w:bottom w:val="single" w:color="2E4A7A" w:sz="1"/>
              <w:right w:val="single" w:color="2E4A7A" w:sz="1"/>
            </w:tcBorders>
            <w:shd w:fill="2E4A7A" w:val="clear"/>
            <w:tcMar>
              <w:top w:type="dxa" w:w="80"/>
              <w:left w:type="dxa" w:w="40"/>
              <w:bottom w:type="dxa" w:w="80"/>
              <w:right w:type="dxa" w:w="40"/>
            </w:tcMar>
          </w:tcPr>
          <w:p>
            <w:pPr>
              <w:jc w:val="center"/>
            </w:pPr>
            <w:r>
              <w:rPr>
                <w:rFonts w:ascii="Arial" w:cs="Arial" w:eastAsia="Arial" w:hAnsi="Arial"/>
                <w:b/>
                <w:bCs/>
                <w:color w:val="FFFFFF"/>
                <w:sz w:val="18"/>
                <w:szCs w:val="18"/>
              </w:rPr>
              <w:t xml:space="preserve">M6</w:t>
            </w:r>
          </w:p>
        </w:tc>
        <w:tc>
          <w:tcPr>
            <w:tcW w:type="dxa" w:w="720"/>
            <w:tcBorders>
              <w:top w:val="single" w:color="2E4A7A" w:sz="1"/>
              <w:left w:val="single" w:color="2E4A7A" w:sz="1"/>
              <w:bottom w:val="single" w:color="2E4A7A" w:sz="1"/>
              <w:right w:val="single" w:color="2E4A7A" w:sz="1"/>
            </w:tcBorders>
            <w:shd w:fill="2E4A7A" w:val="clear"/>
            <w:tcMar>
              <w:top w:type="dxa" w:w="80"/>
              <w:left w:type="dxa" w:w="40"/>
              <w:bottom w:type="dxa" w:w="80"/>
              <w:right w:type="dxa" w:w="40"/>
            </w:tcMar>
          </w:tcPr>
          <w:p>
            <w:pPr>
              <w:jc w:val="center"/>
            </w:pPr>
            <w:r>
              <w:rPr>
                <w:rFonts w:ascii="Arial" w:cs="Arial" w:eastAsia="Arial" w:hAnsi="Arial"/>
                <w:b/>
                <w:bCs/>
                <w:color w:val="FFFFFF"/>
                <w:sz w:val="18"/>
                <w:szCs w:val="18"/>
              </w:rPr>
              <w:t xml:space="preserve">M7</w:t>
            </w:r>
          </w:p>
        </w:tc>
        <w:tc>
          <w:tcPr>
            <w:tcW w:type="dxa" w:w="720"/>
            <w:tcBorders>
              <w:top w:val="single" w:color="2E4A7A" w:sz="1"/>
              <w:left w:val="single" w:color="2E4A7A" w:sz="1"/>
              <w:bottom w:val="single" w:color="2E4A7A" w:sz="1"/>
              <w:right w:val="single" w:color="2E4A7A" w:sz="1"/>
            </w:tcBorders>
            <w:shd w:fill="2E4A7A" w:val="clear"/>
            <w:tcMar>
              <w:top w:type="dxa" w:w="80"/>
              <w:left w:type="dxa" w:w="40"/>
              <w:bottom w:type="dxa" w:w="80"/>
              <w:right w:type="dxa" w:w="40"/>
            </w:tcMar>
          </w:tcPr>
          <w:p>
            <w:pPr>
              <w:jc w:val="center"/>
            </w:pPr>
            <w:r>
              <w:rPr>
                <w:rFonts w:ascii="Arial" w:cs="Arial" w:eastAsia="Arial" w:hAnsi="Arial"/>
                <w:b/>
                <w:bCs/>
                <w:color w:val="FFFFFF"/>
                <w:sz w:val="18"/>
                <w:szCs w:val="18"/>
              </w:rPr>
              <w:t xml:space="preserve">M8</w:t>
            </w:r>
          </w:p>
        </w:tc>
      </w:tr>
      <w:tr>
        <w:tc>
          <w:tcPr>
            <w:tcW w:type="dxa" w:w="30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18"/>
                <w:szCs w:val="18"/>
              </w:rPr>
              <w:t xml:space="preserve">Secure existing IT infrastructure</w:t>
            </w:r>
          </w:p>
        </w:tc>
        <w:tc>
          <w:tcPr>
            <w:tcW w:type="dxa" w:w="720"/>
            <w:tcBorders>
              <w:top w:val="single" w:color="CCCCCC" w:sz="1"/>
              <w:left w:val="single" w:color="CCCCCC" w:sz="1"/>
              <w:bottom w:val="single" w:color="CCCCCC" w:sz="1"/>
              <w:right w:val="single" w:color="CCCCCC" w:sz="1"/>
            </w:tcBorders>
            <w:shd w:fill="4472C4"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4472C4"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Website &amp; social media launch</w:t>
            </w:r>
          </w:p>
        </w:tc>
        <w:tc>
          <w:tcPr>
            <w:tcW w:type="dxa" w:w="720"/>
            <w:tcBorders>
              <w:top w:val="single" w:color="CCCCCC" w:sz="1"/>
              <w:left w:val="single" w:color="CCCCCC" w:sz="1"/>
              <w:bottom w:val="single" w:color="CCCCCC" w:sz="1"/>
              <w:right w:val="single" w:color="CCCCCC" w:sz="1"/>
            </w:tcBorders>
            <w:shd w:fill="4472C4"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4472C4"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t xml:space="preserve"/>
            </w:r>
          </w:p>
        </w:tc>
      </w:tr>
      <w:tr>
        <w:tc>
          <w:tcPr>
            <w:tcW w:type="dxa" w:w="30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18"/>
                <w:szCs w:val="18"/>
              </w:rPr>
              <w:t xml:space="preserve">Staff cybersecurity training</w:t>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4472C4"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4472C4"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E-commerce portal development</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4472C4"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4472C4"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4472C4"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t xml:space="preserve"/>
            </w:r>
          </w:p>
        </w:tc>
      </w:tr>
      <w:tr>
        <w:tc>
          <w:tcPr>
            <w:tcW w:type="dxa" w:w="30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18"/>
                <w:szCs w:val="18"/>
              </w:rPr>
              <w:t xml:space="preserve">PCI-DSS payment integration</w:t>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4472C4"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4472C4"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Testing &amp; go-live (e-commerce)</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4472C4"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t xml:space="preserve"/>
            </w:r>
          </w:p>
        </w:tc>
      </w:tr>
      <w:tr>
        <w:tc>
          <w:tcPr>
            <w:tcW w:type="dxa" w:w="30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18"/>
                <w:szCs w:val="18"/>
              </w:rPr>
              <w:t xml:space="preserve">CRM system implementation</w:t>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4472C4"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4472C4"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International marketing &amp; SEO</w:t>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4472C4"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4472C4" w:val="clear"/>
            <w:tcMar>
              <w:top w:type="dxa" w:w="60"/>
              <w:left w:type="dxa" w:w="40"/>
              <w:bottom w:type="dxa" w:w="60"/>
              <w:right w:type="dxa" w:w="40"/>
            </w:tcMar>
          </w:tcPr>
          <w:p>
            <w:r>
              <w:t xml:space="preserve"/>
            </w:r>
          </w:p>
        </w:tc>
      </w:tr>
      <w:tr>
        <w:tc>
          <w:tcPr>
            <w:tcW w:type="dxa" w:w="3000"/>
            <w:tcBorders>
              <w:top w:val="single" w:color="CCCCCC" w:sz="1"/>
              <w:left w:val="single" w:color="CCCCCC" w:sz="1"/>
              <w:bottom w:val="single" w:color="CCCCCC" w:sz="1"/>
              <w:right w:val="single" w:color="CCCCCC" w:sz="1"/>
            </w:tcBorders>
            <w:shd w:fill="EEF3FB" w:val="clear"/>
            <w:tcMar>
              <w:top w:type="dxa" w:w="60"/>
              <w:left w:type="dxa" w:w="120"/>
              <w:bottom w:type="dxa" w:w="60"/>
              <w:right w:type="dxa" w:w="120"/>
            </w:tcMar>
          </w:tcPr>
          <w:p>
            <w:r>
              <w:rPr>
                <w:rFonts w:ascii="Arial" w:cs="Arial" w:eastAsia="Arial" w:hAnsi="Arial"/>
                <w:sz w:val="18"/>
                <w:szCs w:val="18"/>
              </w:rPr>
              <w:t xml:space="preserve">Supply chain review</w:t>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EEF3FB"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4472C4"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4472C4" w:val="clear"/>
            <w:tcMar>
              <w:top w:type="dxa" w:w="60"/>
              <w:left w:type="dxa" w:w="40"/>
              <w:bottom w:type="dxa" w:w="60"/>
              <w:right w:type="dxa" w:w="40"/>
            </w:tcMar>
          </w:tcPr>
          <w:p>
            <w:r>
              <w:t xml:space="preserve"/>
            </w:r>
          </w:p>
        </w:tc>
        <w:tc>
          <w:tcPr>
            <w:tcW w:type="dxa" w:w="720"/>
            <w:tcBorders>
              <w:top w:val="single" w:color="CCCCCC" w:sz="1"/>
              <w:left w:val="single" w:color="CCCCCC" w:sz="1"/>
              <w:bottom w:val="single" w:color="CCCCCC" w:sz="1"/>
              <w:right w:val="single" w:color="CCCCCC" w:sz="1"/>
            </w:tcBorders>
            <w:shd w:fill="4472C4" w:val="clear"/>
            <w:tcMar>
              <w:top w:type="dxa" w:w="60"/>
              <w:left w:type="dxa" w:w="40"/>
              <w:bottom w:type="dxa" w:w="60"/>
              <w:right w:type="dxa" w:w="40"/>
            </w:tcMar>
          </w:tcPr>
          <w:p>
            <w:r>
              <w:t xml:space="preserve"/>
            </w:r>
          </w:p>
        </w:tc>
      </w:tr>
    </w:tbl>
    <w:p>
      <w:pPr>
        <w:spacing w:after="80" w:before="60"/>
      </w:pPr>
      <w:r>
        <w:rPr>
          <w:rFonts w:ascii="Arial" w:cs="Arial" w:eastAsia="Arial" w:hAnsi="Arial"/>
          <w:i/>
          <w:iCs/>
          <w:color w:val="4472C4"/>
          <w:sz w:val="18"/>
          <w:szCs w:val="18"/>
        </w:rPr>
        <w:t xml:space="preserve">      = Active / In Progress</w:t>
      </w:r>
    </w:p>
    <w:p>
      <w:pPr>
        <w:spacing w:after="80" w:before="80" w:line="360" w:lineRule="auto"/>
      </w:pPr>
      <w:r>
        <w:rPr>
          <w:rFonts w:ascii="Arial" w:cs="Arial" w:eastAsia="Arial" w:hAnsi="Arial"/>
          <w:b w:val="false"/>
          <w:bCs w:val="false"/>
          <w:sz w:val="24"/>
          <w:szCs w:val="24"/>
        </w:rPr>
        <w:t xml:space="preserve">With Orla O'dour's investment funding this transformation, Pampered Pets is well-positioned to grow its customer base, improve operational efficiency, and secure long-term business resilience, provided that the identified risks are actively managed throughout the process.</w:t>
      </w:r>
    </w:p>
    <w:p>
      <w:r>
        <w:br w:type="page"/>
      </w:r>
    </w:p>
    <w:p>
      <w:pPr>
        <w:pStyle w:val="Heading1"/>
        <w:spacing w:after="120" w:before="360" w:line="360" w:lineRule="auto"/>
      </w:pPr>
      <w:r>
        <w:rPr>
          <w:rFonts w:ascii="Arial" w:cs="Arial" w:eastAsia="Arial" w:hAnsi="Arial"/>
          <w:b/>
          <w:bCs/>
          <w:color w:val="2E4A7A"/>
          <w:sz w:val="26"/>
          <w:szCs w:val="26"/>
        </w:rPr>
        <w:t xml:space="preserve">6. Conclusion</w:t>
      </w:r>
    </w:p>
    <w:p>
      <w:pPr>
        <w:spacing w:after="80" w:before="80" w:line="360" w:lineRule="auto"/>
      </w:pPr>
      <w:r>
        <w:rPr>
          <w:rFonts w:ascii="Arial" w:cs="Arial" w:eastAsia="Arial" w:hAnsi="Arial"/>
          <w:b w:val="false"/>
          <w:bCs w:val="false"/>
          <w:sz w:val="24"/>
          <w:szCs w:val="24"/>
        </w:rPr>
        <w:t xml:space="preserve">This report assessed the security and risk landscape for Pampered Pets across two scenarios: status quo and proposed digitalisation. The most pressing current threat is the potential loss of up to 33% of customers due to the absence of an online presence.</w:t>
      </w:r>
    </w:p>
    <w:p>
      <w:pPr>
        <w:spacing w:after="80" w:before="80" w:line="360" w:lineRule="auto"/>
      </w:pPr>
      <w:r>
        <w:rPr>
          <w:rFonts w:ascii="Arial" w:cs="Arial" w:eastAsia="Arial" w:hAnsi="Arial"/>
          <w:b w:val="false"/>
          <w:bCs w:val="false"/>
          <w:sz w:val="24"/>
          <w:szCs w:val="24"/>
        </w:rPr>
        <w:t xml:space="preserve">The proposed digitalisation introduces more complex risks around data protection and GDPR compliance, but these are mitigable. The STRIDE analysis confirms systematic threat planning is essential before go-live.</w:t>
      </w:r>
    </w:p>
    <w:p>
      <w:pPr>
        <w:spacing w:after="80" w:before="80" w:line="360" w:lineRule="auto"/>
      </w:pPr>
      <w:r>
        <w:rPr>
          <w:rFonts w:ascii="Arial" w:cs="Arial" w:eastAsia="Arial" w:hAnsi="Arial"/>
          <w:b w:val="false"/>
          <w:bCs w:val="false"/>
          <w:sz w:val="24"/>
          <w:szCs w:val="24"/>
        </w:rPr>
        <w:t xml:space="preserve">This team recommends a phased, security-first digitalisation. Both the 50% growth opportunity and the 33% customer loss risk strongly favour digital transformation. With Orla O'dour's investment, Pampered Pets has a credible path to sustainable growth.</w:t>
      </w:r>
    </w:p>
    <w:p>
      <w:r>
        <w:br w:type="page"/>
      </w:r>
    </w:p>
    <w:p>
      <w:pPr>
        <w:pStyle w:val="Heading1"/>
        <w:spacing w:after="120" w:before="360" w:line="360" w:lineRule="auto"/>
      </w:pPr>
      <w:r>
        <w:rPr>
          <w:rFonts w:ascii="Arial" w:cs="Arial" w:eastAsia="Arial" w:hAnsi="Arial"/>
          <w:b/>
          <w:bCs/>
          <w:color w:val="2E4A7A"/>
          <w:sz w:val="26"/>
          <w:szCs w:val="26"/>
        </w:rPr>
        <w:t xml:space="preserve">7. References</w:t>
      </w:r>
    </w:p>
    <w:p>
      <w:pPr>
        <w:spacing w:after="0" w:before="160" w:line="240" w:lineRule="auto"/>
      </w:pPr>
      <w:r>
        <w:rPr>
          <w:rFonts w:ascii="Arial" w:cs="Arial" w:eastAsia="Arial" w:hAnsi="Arial"/>
          <w:sz w:val="24"/>
          <w:szCs w:val="24"/>
        </w:rPr>
        <w:t xml:space="preserve">Calder, A. and Watkins, S. (2019) IT Governance: An International Guide to Data Security and ISO 27001/ISO 27002. 7th edn. London: Kogan Page.</w:t>
      </w:r>
    </w:p>
    <w:p>
      <w:pPr>
        <w:spacing w:after="0" w:before="160" w:line="240" w:lineRule="auto"/>
      </w:pPr>
      <w:r>
        <w:rPr>
          <w:rFonts w:ascii="Arial" w:cs="Arial" w:eastAsia="Arial" w:hAnsi="Arial"/>
          <w:sz w:val="24"/>
          <w:szCs w:val="24"/>
        </w:rPr>
        <w:t xml:space="preserve">CERT Division, Carnegie Mellon University (2007) OCTAVE Allegro: Streamlining the Information Security Risk Assessment Process. Technical Report CMU/SEI-2007-TR-012. Pittsburgh: Carnegie Mellon University. Available at: https://resources.sei.cmu.edu/library/asset-view.cfm?assetid=8419. Accessed: 6 June 2026.</w:t>
      </w:r>
    </w:p>
    <w:p>
      <w:pPr>
        <w:spacing w:after="0" w:before="160" w:line="240" w:lineRule="auto"/>
      </w:pPr>
      <w:r>
        <w:rPr>
          <w:rFonts w:ascii="Arial" w:cs="Arial" w:eastAsia="Arial" w:hAnsi="Arial"/>
          <w:sz w:val="24"/>
          <w:szCs w:val="24"/>
        </w:rPr>
        <w:t xml:space="preserve">Information Commissioner's Office (ICO) (2023) Guide to the UK General Data Protection Regulation (UK GDPR). Available at: https://ico.org.uk/for-organisations/guide-to-data-protection/guide-to-the-general-data-protection-regulation-gdpr. Accessed: 6 June 2026.</w:t>
      </w:r>
    </w:p>
    <w:p>
      <w:pPr>
        <w:spacing w:after="0" w:before="160" w:line="240" w:lineRule="auto"/>
      </w:pPr>
      <w:r>
        <w:rPr>
          <w:rFonts w:ascii="Arial" w:cs="Arial" w:eastAsia="Arial" w:hAnsi="Arial"/>
          <w:sz w:val="24"/>
          <w:szCs w:val="24"/>
        </w:rPr>
        <w:t xml:space="preserve">National Institute of Standards and Technology (NIST) (2018) Risk Management Framework for Information Systems and Organizations: A System Life Cycle Approach for Security and Privacy. NIST Special Publication 800-37 Rev. 2. Gaithersburg, MD: NIST. Available at: https://csrc.nist.gov/publications/detail/sp/800-37/rev-2/final. Accessed: 6 June 2026.</w:t>
      </w:r>
    </w:p>
    <w:p>
      <w:pPr>
        <w:spacing w:after="0" w:before="160" w:line="240" w:lineRule="auto"/>
      </w:pPr>
      <w:r>
        <w:rPr>
          <w:rFonts w:ascii="Arial" w:cs="Arial" w:eastAsia="Arial" w:hAnsi="Arial"/>
          <w:sz w:val="24"/>
          <w:szCs w:val="24"/>
        </w:rPr>
        <w:t xml:space="preserve">Payment Card Industry Security Standards Council (PCI SSC) (2022) PCI DSS Quick Reference Guide. Available at: https://www.pcisecuritystandards.org. Accessed: 6 June 2026.</w:t>
      </w:r>
    </w:p>
    <w:p>
      <w:pPr>
        <w:spacing w:after="0" w:before="160" w:line="240" w:lineRule="auto"/>
      </w:pPr>
      <w:r>
        <w:rPr>
          <w:rFonts w:ascii="Arial" w:cs="Arial" w:eastAsia="Arial" w:hAnsi="Arial"/>
          <w:sz w:val="24"/>
          <w:szCs w:val="24"/>
        </w:rPr>
        <w:t xml:space="preserve">Whitman, M.E. and Mattord, H.J. (2021) Management of Information Security. 6th edn. Boston: Cengage Learning.</w:t>
      </w:r>
    </w:p>
    <w:p>
      <w:r>
        <w:br w:type="page"/>
      </w:r>
    </w:p>
    <w:p>
      <w:pPr>
        <w:spacing w:after="200" w:before="0"/>
      </w:pPr>
      <w:r>
        <w:rPr>
          <w:rFonts w:ascii="Arial" w:cs="Arial" w:eastAsia="Arial" w:hAnsi="Arial"/>
          <w:b/>
          <w:bCs/>
          <w:color w:val="2E4A7A"/>
          <w:sz w:val="28"/>
          <w:szCs w:val="28"/>
        </w:rPr>
        <w:t xml:space="preserve">Appendix A: Current Business Risk Matrix</w:t>
      </w:r>
    </w:p>
    <w:p>
      <w:pPr>
        <w:spacing w:after="80" w:before="80" w:line="360" w:lineRule="auto"/>
      </w:pPr>
      <w:r>
        <w:rPr>
          <w:rFonts w:ascii="Arial" w:cs="Arial" w:eastAsia="Arial" w:hAnsi="Arial"/>
          <w:b w:val="false"/>
          <w:bCs w:val="false"/>
          <w:sz w:val="24"/>
          <w:szCs w:val="24"/>
        </w:rPr>
        <w:t xml:space="preserve">Risk matrix mapping Likelihood against Impact for the current business state. Colour coding: RED = HIGH, AMBER = MEDIUM, GREEN = LOW.</w:t>
      </w:r>
    </w:p>
    <w:p>
      <w:pPr>
        <w:spacing w:before="100"/>
      </w:pP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1753"/>
        <w:gridCol w:w="1753"/>
        <w:gridCol w:w="1753"/>
        <w:gridCol w:w="1753"/>
        <w:gridCol w:w="1753"/>
      </w:tblGrid>
      <w:tr>
        <w:tc>
          <w:tcPr>
            <w:tcW w:type="dxa" w:w="1753"/>
            <w:tcBorders>
              <w:top w:val="single" w:color="2E4A7A" w:sz="1"/>
              <w:left w:val="single" w:color="2E4A7A" w:sz="1"/>
              <w:bottom w:val="single" w:color="2E4A7A" w:sz="1"/>
              <w:right w:val="single" w:color="2E4A7A" w:sz="1"/>
            </w:tcBorders>
            <w:shd w:fill="F5F5F5" w:val="clear"/>
            <w:tcMar>
              <w:top w:type="dxa" w:w="80"/>
              <w:left w:type="dxa" w:w="100"/>
              <w:bottom w:type="dxa" w:w="80"/>
              <w:right w:type="dxa" w:w="100"/>
            </w:tcMar>
          </w:tcPr>
          <w:p>
            <w:pPr>
              <w:jc w:val="center"/>
            </w:pPr>
            <w:r>
              <w:rPr>
                <w:rFonts w:ascii="Arial" w:cs="Arial" w:eastAsia="Arial" w:hAnsi="Arial"/>
                <w:b/>
                <w:bCs/>
                <w:color w:val="000000"/>
                <w:sz w:val="18"/>
                <w:szCs w:val="18"/>
              </w:rPr>
              <w:t xml:space="preserve"/>
            </w:r>
          </w:p>
        </w:tc>
        <w:tc>
          <w:tcPr>
            <w:tcW w:type="dxa" w:w="1753"/>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Low Impact</w:t>
            </w:r>
          </w:p>
        </w:tc>
        <w:tc>
          <w:tcPr>
            <w:tcW w:type="dxa" w:w="1753"/>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Medium Impact</w:t>
            </w:r>
          </w:p>
        </w:tc>
        <w:tc>
          <w:tcPr>
            <w:tcW w:type="dxa" w:w="1753"/>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High Impact</w:t>
            </w:r>
          </w:p>
        </w:tc>
        <w:tc>
          <w:tcPr>
            <w:tcW w:type="dxa" w:w="1753"/>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Very High Impact</w:t>
            </w:r>
          </w:p>
        </w:tc>
      </w:tr>
      <w:tr>
        <w:tc>
          <w:tcPr>
            <w:tcW w:type="dxa" w:w="1753"/>
            <w:tcBorders>
              <w:top w:val="single" w:color="CCCCCC" w:sz="1"/>
              <w:left w:val="single" w:color="CCCCCC" w:sz="1"/>
              <w:bottom w:val="single" w:color="CCCCCC" w:sz="1"/>
              <w:right w:val="single" w:color="CCCCCC" w:sz="1"/>
            </w:tcBorders>
            <w:shd w:fill="2E4A7A" w:val="clear"/>
            <w:tcMar>
              <w:top w:type="dxa" w:w="80"/>
              <w:left w:type="dxa" w:w="100"/>
              <w:bottom w:type="dxa" w:w="80"/>
              <w:right w:type="dxa" w:w="100"/>
            </w:tcMar>
          </w:tcPr>
          <w:p>
            <w:r>
              <w:rPr>
                <w:rFonts w:ascii="Arial" w:cs="Arial" w:eastAsia="Arial" w:hAnsi="Arial"/>
                <w:b/>
                <w:bCs/>
                <w:color w:val="FFFFFF"/>
                <w:sz w:val="18"/>
                <w:szCs w:val="18"/>
              </w:rPr>
              <w:t xml:space="preserve">High Likelihood</w:t>
            </w:r>
          </w:p>
        </w:tc>
        <w:tc>
          <w:tcPr>
            <w:tcW w:type="dxa" w:w="1753"/>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sz w:val="17"/>
                <w:szCs w:val="17"/>
              </w:rPr>
              <w:t xml:space="preserve">Staff misuse of Wi-Fi</w:t>
            </w:r>
          </w:p>
        </w:tc>
        <w:tc>
          <w:tcPr>
            <w:tcW w:type="dxa" w:w="1753"/>
            <w:tcBorders>
              <w:top w:val="single" w:color="CCCCCC" w:sz="1"/>
              <w:left w:val="single" w:color="CCCCCC" w:sz="1"/>
              <w:bottom w:val="single" w:color="CCCCCC" w:sz="1"/>
              <w:right w:val="single" w:color="CCCCCC" w:sz="1"/>
            </w:tcBorders>
            <w:shd w:fill="FFD7D7" w:val="clear"/>
            <w:tcMar>
              <w:top w:type="dxa" w:w="80"/>
              <w:left w:type="dxa" w:w="100"/>
              <w:bottom w:type="dxa" w:w="80"/>
              <w:right w:type="dxa" w:w="100"/>
            </w:tcMar>
          </w:tcPr>
          <w:p>
            <w:r>
              <w:rPr>
                <w:rFonts w:ascii="Arial" w:cs="Arial" w:eastAsia="Arial" w:hAnsi="Arial"/>
                <w:sz w:val="17"/>
                <w:szCs w:val="17"/>
              </w:rPr>
              <w:t xml:space="preserve">Unauthorised data access
Wi-Fi interception</w:t>
            </w:r>
          </w:p>
        </w:tc>
        <w:tc>
          <w:tcPr>
            <w:tcW w:type="dxa" w:w="1753"/>
            <w:tcBorders>
              <w:top w:val="single" w:color="CCCCCC" w:sz="1"/>
              <w:left w:val="single" w:color="CCCCCC" w:sz="1"/>
              <w:bottom w:val="single" w:color="CCCCCC" w:sz="1"/>
              <w:right w:val="single" w:color="CCCCCC" w:sz="1"/>
            </w:tcBorders>
            <w:shd w:fill="FFD7D7" w:val="clear"/>
            <w:tcMar>
              <w:top w:type="dxa" w:w="80"/>
              <w:left w:type="dxa" w:w="100"/>
              <w:bottom w:type="dxa" w:w="80"/>
              <w:right w:type="dxa" w:w="100"/>
            </w:tcMar>
          </w:tcPr>
          <w:p>
            <w:r>
              <w:rPr>
                <w:rFonts w:ascii="Arial" w:cs="Arial" w:eastAsia="Arial" w:hAnsi="Arial"/>
                <w:sz w:val="17"/>
                <w:szCs w:val="17"/>
              </w:rPr>
              <w:t xml:space="preserve">No online presence (33% loss risk)
Malware/Ransomware</w:t>
            </w:r>
          </w:p>
        </w:tc>
        <w:tc>
          <w:tcPr>
            <w:tcW w:type="dxa" w:w="1753"/>
            <w:tcBorders>
              <w:top w:val="single" w:color="CCCCCC" w:sz="1"/>
              <w:left w:val="single" w:color="CCCCCC" w:sz="1"/>
              <w:bottom w:val="single" w:color="CCCCCC" w:sz="1"/>
              <w:right w:val="single" w:color="CCCCCC" w:sz="1"/>
            </w:tcBorders>
            <w:shd w:fill="FFB3B3" w:val="clear"/>
            <w:tcMar>
              <w:top w:type="dxa" w:w="80"/>
              <w:left w:type="dxa" w:w="100"/>
              <w:bottom w:type="dxa" w:w="80"/>
              <w:right w:type="dxa" w:w="100"/>
            </w:tcMar>
          </w:tcPr>
          <w:p>
            <w:r>
              <w:rPr>
                <w:rFonts w:ascii="Arial" w:cs="Arial" w:eastAsia="Arial" w:hAnsi="Arial"/>
                <w:sz w:val="17"/>
                <w:szCs w:val="17"/>
              </w:rPr>
              <w:t xml:space="preserve"/>
            </w:r>
          </w:p>
        </w:tc>
      </w:tr>
      <w:tr>
        <w:tc>
          <w:tcPr>
            <w:tcW w:type="dxa" w:w="1753"/>
            <w:tcBorders>
              <w:top w:val="single" w:color="CCCCCC" w:sz="1"/>
              <w:left w:val="single" w:color="CCCCCC" w:sz="1"/>
              <w:bottom w:val="single" w:color="CCCCCC" w:sz="1"/>
              <w:right w:val="single" w:color="CCCCCC" w:sz="1"/>
            </w:tcBorders>
            <w:shd w:fill="2E4A7A" w:val="clear"/>
            <w:tcMar>
              <w:top w:type="dxa" w:w="80"/>
              <w:left w:type="dxa" w:w="100"/>
              <w:bottom w:type="dxa" w:w="80"/>
              <w:right w:type="dxa" w:w="100"/>
            </w:tcMar>
          </w:tcPr>
          <w:p>
            <w:r>
              <w:rPr>
                <w:rFonts w:ascii="Arial" w:cs="Arial" w:eastAsia="Arial" w:hAnsi="Arial"/>
                <w:b/>
                <w:bCs/>
                <w:color w:val="FFFFFF"/>
                <w:sz w:val="18"/>
                <w:szCs w:val="18"/>
              </w:rPr>
              <w:t xml:space="preserve">Medium Likelihood</w:t>
            </w:r>
          </w:p>
        </w:tc>
        <w:tc>
          <w:tcPr>
            <w:tcW w:type="dxa" w:w="1753"/>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r>
              <w:rPr>
                <w:rFonts w:ascii="Arial" w:cs="Arial" w:eastAsia="Arial" w:hAnsi="Arial"/>
                <w:sz w:val="17"/>
                <w:szCs w:val="17"/>
              </w:rPr>
              <w:t xml:space="preserve">Physical theft</w:t>
            </w:r>
          </w:p>
        </w:tc>
        <w:tc>
          <w:tcPr>
            <w:tcW w:type="dxa" w:w="1753"/>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sz w:val="17"/>
                <w:szCs w:val="17"/>
              </w:rPr>
              <w:t xml:space="preserve">Customer data breach
Supply chain disruption</w:t>
            </w:r>
          </w:p>
        </w:tc>
        <w:tc>
          <w:tcPr>
            <w:tcW w:type="dxa" w:w="1753"/>
            <w:tcBorders>
              <w:top w:val="single" w:color="CCCCCC" w:sz="1"/>
              <w:left w:val="single" w:color="CCCCCC" w:sz="1"/>
              <w:bottom w:val="single" w:color="CCCCCC" w:sz="1"/>
              <w:right w:val="single" w:color="CCCCCC" w:sz="1"/>
            </w:tcBorders>
            <w:shd w:fill="FFD7D7" w:val="clear"/>
            <w:tcMar>
              <w:top w:type="dxa" w:w="80"/>
              <w:left w:type="dxa" w:w="100"/>
              <w:bottom w:type="dxa" w:w="80"/>
              <w:right w:type="dxa" w:w="100"/>
            </w:tcMar>
          </w:tcPr>
          <w:p>
            <w:r>
              <w:rPr>
                <w:rFonts w:ascii="Arial" w:cs="Arial" w:eastAsia="Arial" w:hAnsi="Arial"/>
                <w:sz w:val="17"/>
                <w:szCs w:val="17"/>
              </w:rPr>
              <w:t xml:space="preserve">Customer data loss</w:t>
            </w:r>
          </w:p>
        </w:tc>
        <w:tc>
          <w:tcPr>
            <w:tcW w:type="dxa" w:w="1753"/>
            <w:tcBorders>
              <w:top w:val="single" w:color="CCCCCC" w:sz="1"/>
              <w:left w:val="single" w:color="CCCCCC" w:sz="1"/>
              <w:bottom w:val="single" w:color="CCCCCC" w:sz="1"/>
              <w:right w:val="single" w:color="CCCCCC" w:sz="1"/>
            </w:tcBorders>
            <w:shd w:fill="FFD7D7" w:val="clear"/>
            <w:tcMar>
              <w:top w:type="dxa" w:w="80"/>
              <w:left w:type="dxa" w:w="100"/>
              <w:bottom w:type="dxa" w:w="80"/>
              <w:right w:type="dxa" w:w="100"/>
            </w:tcMar>
          </w:tcPr>
          <w:p>
            <w:r>
              <w:rPr>
                <w:rFonts w:ascii="Arial" w:cs="Arial" w:eastAsia="Arial" w:hAnsi="Arial"/>
                <w:sz w:val="17"/>
                <w:szCs w:val="17"/>
              </w:rPr>
              <w:t xml:space="preserve"/>
            </w:r>
          </w:p>
        </w:tc>
      </w:tr>
      <w:tr>
        <w:tc>
          <w:tcPr>
            <w:tcW w:type="dxa" w:w="1753"/>
            <w:tcBorders>
              <w:top w:val="single" w:color="CCCCCC" w:sz="1"/>
              <w:left w:val="single" w:color="CCCCCC" w:sz="1"/>
              <w:bottom w:val="single" w:color="CCCCCC" w:sz="1"/>
              <w:right w:val="single" w:color="CCCCCC" w:sz="1"/>
            </w:tcBorders>
            <w:shd w:fill="2E4A7A" w:val="clear"/>
            <w:tcMar>
              <w:top w:type="dxa" w:w="80"/>
              <w:left w:type="dxa" w:w="100"/>
              <w:bottom w:type="dxa" w:w="80"/>
              <w:right w:type="dxa" w:w="100"/>
            </w:tcMar>
          </w:tcPr>
          <w:p>
            <w:r>
              <w:rPr>
                <w:rFonts w:ascii="Arial" w:cs="Arial" w:eastAsia="Arial" w:hAnsi="Arial"/>
                <w:b/>
                <w:bCs/>
                <w:color w:val="FFFFFF"/>
                <w:sz w:val="18"/>
                <w:szCs w:val="18"/>
              </w:rPr>
              <w:t xml:space="preserve">Low Likelihood</w:t>
            </w:r>
          </w:p>
        </w:tc>
        <w:tc>
          <w:tcPr>
            <w:tcW w:type="dxa" w:w="1753"/>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r>
              <w:rPr>
                <w:rFonts w:ascii="Arial" w:cs="Arial" w:eastAsia="Arial" w:hAnsi="Arial"/>
                <w:sz w:val="17"/>
                <w:szCs w:val="17"/>
              </w:rPr>
              <w:t xml:space="preserve"/>
            </w:r>
          </w:p>
        </w:tc>
        <w:tc>
          <w:tcPr>
            <w:tcW w:type="dxa" w:w="1753"/>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r>
              <w:rPr>
                <w:rFonts w:ascii="Arial" w:cs="Arial" w:eastAsia="Arial" w:hAnsi="Arial"/>
                <w:sz w:val="17"/>
                <w:szCs w:val="17"/>
              </w:rPr>
              <w:t xml:space="preserve"/>
            </w:r>
          </w:p>
        </w:tc>
        <w:tc>
          <w:tcPr>
            <w:tcW w:type="dxa" w:w="1753"/>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sz w:val="17"/>
                <w:szCs w:val="17"/>
              </w:rPr>
              <w:t xml:space="preserve">Hardware theft</w:t>
            </w:r>
          </w:p>
        </w:tc>
        <w:tc>
          <w:tcPr>
            <w:tcW w:type="dxa" w:w="1753"/>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sz w:val="17"/>
                <w:szCs w:val="17"/>
              </w:rPr>
              <w:t xml:space="preserve"/>
            </w:r>
          </w:p>
        </w:tc>
      </w:tr>
    </w:tbl>
    <w:p>
      <w:r>
        <w:br w:type="page"/>
      </w:r>
    </w:p>
    <w:p>
      <w:pPr>
        <w:spacing w:after="200" w:before="0"/>
      </w:pPr>
      <w:r>
        <w:rPr>
          <w:rFonts w:ascii="Arial" w:cs="Arial" w:eastAsia="Arial" w:hAnsi="Arial"/>
          <w:b/>
          <w:bCs/>
          <w:color w:val="2E4A7A"/>
          <w:sz w:val="28"/>
          <w:szCs w:val="28"/>
        </w:rPr>
        <w:t xml:space="preserve">Appendix B: Digitalisation Risk Matrix</w:t>
      </w:r>
    </w:p>
    <w:p>
      <w:pPr>
        <w:spacing w:after="80" w:before="80" w:line="360" w:lineRule="auto"/>
      </w:pPr>
      <w:r>
        <w:rPr>
          <w:rFonts w:ascii="Arial" w:cs="Arial" w:eastAsia="Arial" w:hAnsi="Arial"/>
          <w:b w:val="false"/>
          <w:bCs w:val="false"/>
          <w:sz w:val="24"/>
          <w:szCs w:val="24"/>
        </w:rPr>
        <w:t xml:space="preserve">Risk matrix mapping Likelihood against Impact for the proposed digitalisation scenario. Colour coding: DARK RED = CRITICAL, RED = HIGH, AMBER = MEDIUM, GREEN = LOW.</w:t>
      </w:r>
    </w:p>
    <w:p>
      <w:pPr>
        <w:spacing w:before="100"/>
      </w:pP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1753"/>
        <w:gridCol w:w="1753"/>
        <w:gridCol w:w="1753"/>
        <w:gridCol w:w="1753"/>
        <w:gridCol w:w="1753"/>
      </w:tblGrid>
      <w:tr>
        <w:tc>
          <w:tcPr>
            <w:tcW w:type="dxa" w:w="1753"/>
            <w:tcBorders>
              <w:top w:val="single" w:color="2E4A7A" w:sz="1"/>
              <w:left w:val="single" w:color="2E4A7A" w:sz="1"/>
              <w:bottom w:val="single" w:color="2E4A7A" w:sz="1"/>
              <w:right w:val="single" w:color="2E4A7A" w:sz="1"/>
            </w:tcBorders>
            <w:shd w:fill="F5F5F5" w:val="clear"/>
            <w:tcMar>
              <w:top w:type="dxa" w:w="80"/>
              <w:left w:type="dxa" w:w="100"/>
              <w:bottom w:type="dxa" w:w="80"/>
              <w:right w:type="dxa" w:w="100"/>
            </w:tcMar>
          </w:tcPr>
          <w:p>
            <w:pPr>
              <w:jc w:val="center"/>
            </w:pPr>
            <w:r>
              <w:rPr>
                <w:rFonts w:ascii="Arial" w:cs="Arial" w:eastAsia="Arial" w:hAnsi="Arial"/>
                <w:b/>
                <w:bCs/>
                <w:color w:val="000000"/>
                <w:sz w:val="18"/>
                <w:szCs w:val="18"/>
              </w:rPr>
              <w:t xml:space="preserve"/>
            </w:r>
          </w:p>
        </w:tc>
        <w:tc>
          <w:tcPr>
            <w:tcW w:type="dxa" w:w="1753"/>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Low Impact</w:t>
            </w:r>
          </w:p>
        </w:tc>
        <w:tc>
          <w:tcPr>
            <w:tcW w:type="dxa" w:w="1753"/>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Medium Impact</w:t>
            </w:r>
          </w:p>
        </w:tc>
        <w:tc>
          <w:tcPr>
            <w:tcW w:type="dxa" w:w="1753"/>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High Impact</w:t>
            </w:r>
          </w:p>
        </w:tc>
        <w:tc>
          <w:tcPr>
            <w:tcW w:type="dxa" w:w="1753"/>
            <w:tcBorders>
              <w:top w:val="single" w:color="2E4A7A" w:sz="1"/>
              <w:left w:val="single" w:color="2E4A7A" w:sz="1"/>
              <w:bottom w:val="single" w:color="2E4A7A" w:sz="1"/>
              <w:right w:val="single" w:color="2E4A7A" w:sz="1"/>
            </w:tcBorders>
            <w:shd w:fill="2E4A7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Very High Impact</w:t>
            </w:r>
          </w:p>
        </w:tc>
      </w:tr>
      <w:tr>
        <w:tc>
          <w:tcPr>
            <w:tcW w:type="dxa" w:w="1753"/>
            <w:tcBorders>
              <w:top w:val="single" w:color="CCCCCC" w:sz="1"/>
              <w:left w:val="single" w:color="CCCCCC" w:sz="1"/>
              <w:bottom w:val="single" w:color="CCCCCC" w:sz="1"/>
              <w:right w:val="single" w:color="CCCCCC" w:sz="1"/>
            </w:tcBorders>
            <w:shd w:fill="2E4A7A" w:val="clear"/>
            <w:tcMar>
              <w:top w:type="dxa" w:w="80"/>
              <w:left w:type="dxa" w:w="100"/>
              <w:bottom w:type="dxa" w:w="80"/>
              <w:right w:type="dxa" w:w="100"/>
            </w:tcMar>
          </w:tcPr>
          <w:p>
            <w:r>
              <w:rPr>
                <w:rFonts w:ascii="Arial" w:cs="Arial" w:eastAsia="Arial" w:hAnsi="Arial"/>
                <w:b/>
                <w:bCs/>
                <w:color w:val="FFFFFF"/>
                <w:sz w:val="18"/>
                <w:szCs w:val="18"/>
              </w:rPr>
              <w:t xml:space="preserve">High Likelihood</w:t>
            </w:r>
          </w:p>
        </w:tc>
        <w:tc>
          <w:tcPr>
            <w:tcW w:type="dxa" w:w="1753"/>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sz w:val="17"/>
                <w:szCs w:val="17"/>
              </w:rPr>
              <w:t xml:space="preserve"/>
            </w:r>
          </w:p>
        </w:tc>
        <w:tc>
          <w:tcPr>
            <w:tcW w:type="dxa" w:w="1753"/>
            <w:tcBorders>
              <w:top w:val="single" w:color="CCCCCC" w:sz="1"/>
              <w:left w:val="single" w:color="CCCCCC" w:sz="1"/>
              <w:bottom w:val="single" w:color="CCCCCC" w:sz="1"/>
              <w:right w:val="single" w:color="CCCCCC" w:sz="1"/>
            </w:tcBorders>
            <w:shd w:fill="FFD7D7" w:val="clear"/>
            <w:tcMar>
              <w:top w:type="dxa" w:w="80"/>
              <w:left w:type="dxa" w:w="100"/>
              <w:bottom w:type="dxa" w:w="80"/>
              <w:right w:type="dxa" w:w="100"/>
            </w:tcMar>
          </w:tcPr>
          <w:p>
            <w:r>
              <w:rPr>
                <w:rFonts w:ascii="Arial" w:cs="Arial" w:eastAsia="Arial" w:hAnsi="Arial"/>
                <w:sz w:val="17"/>
                <w:szCs w:val="17"/>
              </w:rPr>
              <w:t xml:space="preserve">Staff digital skills gap</w:t>
            </w:r>
          </w:p>
        </w:tc>
        <w:tc>
          <w:tcPr>
            <w:tcW w:type="dxa" w:w="1753"/>
            <w:tcBorders>
              <w:top w:val="single" w:color="CCCCCC" w:sz="1"/>
              <w:left w:val="single" w:color="CCCCCC" w:sz="1"/>
              <w:bottom w:val="single" w:color="CCCCCC" w:sz="1"/>
              <w:right w:val="single" w:color="CCCCCC" w:sz="1"/>
            </w:tcBorders>
            <w:shd w:fill="FFD7D7" w:val="clear"/>
            <w:tcMar>
              <w:top w:type="dxa" w:w="80"/>
              <w:left w:type="dxa" w:w="100"/>
              <w:bottom w:type="dxa" w:w="80"/>
              <w:right w:type="dxa" w:w="100"/>
            </w:tcMar>
          </w:tcPr>
          <w:p>
            <w:r>
              <w:rPr>
                <w:rFonts w:ascii="Arial" w:cs="Arial" w:eastAsia="Arial" w:hAnsi="Arial"/>
                <w:sz w:val="17"/>
                <w:szCs w:val="17"/>
              </w:rPr>
              <w:t xml:space="preserve">Phishing attacks</w:t>
            </w:r>
          </w:p>
        </w:tc>
        <w:tc>
          <w:tcPr>
            <w:tcW w:type="dxa" w:w="1753"/>
            <w:tcBorders>
              <w:top w:val="single" w:color="CCCCCC" w:sz="1"/>
              <w:left w:val="single" w:color="CCCCCC" w:sz="1"/>
              <w:bottom w:val="single" w:color="CCCCCC" w:sz="1"/>
              <w:right w:val="single" w:color="CCCCCC" w:sz="1"/>
            </w:tcBorders>
            <w:shd w:fill="FFB3B3" w:val="clear"/>
            <w:tcMar>
              <w:top w:type="dxa" w:w="80"/>
              <w:left w:type="dxa" w:w="100"/>
              <w:bottom w:type="dxa" w:w="80"/>
              <w:right w:type="dxa" w:w="100"/>
            </w:tcMar>
          </w:tcPr>
          <w:p>
            <w:r>
              <w:rPr>
                <w:rFonts w:ascii="Arial" w:cs="Arial" w:eastAsia="Arial" w:hAnsi="Arial"/>
                <w:sz w:val="17"/>
                <w:szCs w:val="17"/>
              </w:rPr>
              <w:t xml:space="preserve"/>
            </w:r>
          </w:p>
        </w:tc>
      </w:tr>
      <w:tr>
        <w:tc>
          <w:tcPr>
            <w:tcW w:type="dxa" w:w="1753"/>
            <w:tcBorders>
              <w:top w:val="single" w:color="CCCCCC" w:sz="1"/>
              <w:left w:val="single" w:color="CCCCCC" w:sz="1"/>
              <w:bottom w:val="single" w:color="CCCCCC" w:sz="1"/>
              <w:right w:val="single" w:color="CCCCCC" w:sz="1"/>
            </w:tcBorders>
            <w:shd w:fill="2E4A7A" w:val="clear"/>
            <w:tcMar>
              <w:top w:type="dxa" w:w="80"/>
              <w:left w:type="dxa" w:w="100"/>
              <w:bottom w:type="dxa" w:w="80"/>
              <w:right w:type="dxa" w:w="100"/>
            </w:tcMar>
          </w:tcPr>
          <w:p>
            <w:r>
              <w:rPr>
                <w:rFonts w:ascii="Arial" w:cs="Arial" w:eastAsia="Arial" w:hAnsi="Arial"/>
                <w:b/>
                <w:bCs/>
                <w:color w:val="FFFFFF"/>
                <w:sz w:val="18"/>
                <w:szCs w:val="18"/>
              </w:rPr>
              <w:t xml:space="preserve">Medium Likelihood</w:t>
            </w:r>
          </w:p>
        </w:tc>
        <w:tc>
          <w:tcPr>
            <w:tcW w:type="dxa" w:w="1753"/>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r>
              <w:rPr>
                <w:rFonts w:ascii="Arial" w:cs="Arial" w:eastAsia="Arial" w:hAnsi="Arial"/>
                <w:sz w:val="17"/>
                <w:szCs w:val="17"/>
              </w:rPr>
              <w:t xml:space="preserve"/>
            </w:r>
          </w:p>
        </w:tc>
        <w:tc>
          <w:tcPr>
            <w:tcW w:type="dxa" w:w="1753"/>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sz w:val="17"/>
                <w:szCs w:val="17"/>
              </w:rPr>
              <w:t xml:space="preserve">Negative reviews
Supply chain risks</w:t>
            </w:r>
          </w:p>
        </w:tc>
        <w:tc>
          <w:tcPr>
            <w:tcW w:type="dxa" w:w="1753"/>
            <w:tcBorders>
              <w:top w:val="single" w:color="CCCCCC" w:sz="1"/>
              <w:left w:val="single" w:color="CCCCCC" w:sz="1"/>
              <w:bottom w:val="single" w:color="CCCCCC" w:sz="1"/>
              <w:right w:val="single" w:color="CCCCCC" w:sz="1"/>
            </w:tcBorders>
            <w:shd w:fill="FFD7D7" w:val="clear"/>
            <w:tcMar>
              <w:top w:type="dxa" w:w="80"/>
              <w:left w:type="dxa" w:w="100"/>
              <w:bottom w:type="dxa" w:w="80"/>
              <w:right w:type="dxa" w:w="100"/>
            </w:tcMar>
          </w:tcPr>
          <w:p>
            <w:r>
              <w:rPr>
                <w:rFonts w:ascii="Arial" w:cs="Arial" w:eastAsia="Arial" w:hAnsi="Arial"/>
                <w:sz w:val="17"/>
                <w:szCs w:val="17"/>
              </w:rPr>
              <w:t xml:space="preserve">Site hacked
System failure</w:t>
            </w:r>
          </w:p>
        </w:tc>
        <w:tc>
          <w:tcPr>
            <w:tcW w:type="dxa" w:w="1753"/>
            <w:tcBorders>
              <w:top w:val="single" w:color="CCCCCC" w:sz="1"/>
              <w:left w:val="single" w:color="CCCCCC" w:sz="1"/>
              <w:bottom w:val="single" w:color="CCCCCC" w:sz="1"/>
              <w:right w:val="single" w:color="CCCCCC" w:sz="1"/>
            </w:tcBorders>
            <w:shd w:fill="FFB3B3" w:val="clear"/>
            <w:tcMar>
              <w:top w:type="dxa" w:w="80"/>
              <w:left w:type="dxa" w:w="100"/>
              <w:bottom w:type="dxa" w:w="80"/>
              <w:right w:type="dxa" w:w="100"/>
            </w:tcMar>
          </w:tcPr>
          <w:p>
            <w:r>
              <w:rPr>
                <w:rFonts w:ascii="Arial" w:cs="Arial" w:eastAsia="Arial" w:hAnsi="Arial"/>
                <w:sz w:val="17"/>
                <w:szCs w:val="17"/>
              </w:rPr>
              <w:t xml:space="preserve">Payment data breach
GDPR non-compliance</w:t>
            </w:r>
          </w:p>
        </w:tc>
      </w:tr>
      <w:tr>
        <w:tc>
          <w:tcPr>
            <w:tcW w:type="dxa" w:w="1753"/>
            <w:tcBorders>
              <w:top w:val="single" w:color="CCCCCC" w:sz="1"/>
              <w:left w:val="single" w:color="CCCCCC" w:sz="1"/>
              <w:bottom w:val="single" w:color="CCCCCC" w:sz="1"/>
              <w:right w:val="single" w:color="CCCCCC" w:sz="1"/>
            </w:tcBorders>
            <w:shd w:fill="2E4A7A" w:val="clear"/>
            <w:tcMar>
              <w:top w:type="dxa" w:w="80"/>
              <w:left w:type="dxa" w:w="100"/>
              <w:bottom w:type="dxa" w:w="80"/>
              <w:right w:type="dxa" w:w="100"/>
            </w:tcMar>
          </w:tcPr>
          <w:p>
            <w:r>
              <w:rPr>
                <w:rFonts w:ascii="Arial" w:cs="Arial" w:eastAsia="Arial" w:hAnsi="Arial"/>
                <w:b/>
                <w:bCs/>
                <w:color w:val="FFFFFF"/>
                <w:sz w:val="18"/>
                <w:szCs w:val="18"/>
              </w:rPr>
              <w:t xml:space="preserve">Low Likelihood</w:t>
            </w:r>
          </w:p>
        </w:tc>
        <w:tc>
          <w:tcPr>
            <w:tcW w:type="dxa" w:w="1753"/>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r>
              <w:rPr>
                <w:rFonts w:ascii="Arial" w:cs="Arial" w:eastAsia="Arial" w:hAnsi="Arial"/>
                <w:sz w:val="17"/>
                <w:szCs w:val="17"/>
              </w:rPr>
              <w:t xml:space="preserve"/>
            </w:r>
          </w:p>
        </w:tc>
        <w:tc>
          <w:tcPr>
            <w:tcW w:type="dxa" w:w="1753"/>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r>
              <w:rPr>
                <w:rFonts w:ascii="Arial" w:cs="Arial" w:eastAsia="Arial" w:hAnsi="Arial"/>
                <w:sz w:val="17"/>
                <w:szCs w:val="17"/>
              </w:rPr>
              <w:t xml:space="preserve"/>
            </w:r>
          </w:p>
        </w:tc>
        <w:tc>
          <w:tcPr>
            <w:tcW w:type="dxa" w:w="1753"/>
            <w:tcBorders>
              <w:top w:val="single" w:color="CCCCCC" w:sz="1"/>
              <w:left w:val="single" w:color="CCCCCC" w:sz="1"/>
              <w:bottom w:val="single" w:color="CCCCCC" w:sz="1"/>
              <w:right w:val="single" w:color="CCCCCC" w:sz="1"/>
            </w:tcBorders>
            <w:shd w:fill="FFD7D7" w:val="clear"/>
            <w:tcMar>
              <w:top w:type="dxa" w:w="80"/>
              <w:left w:type="dxa" w:w="100"/>
              <w:bottom w:type="dxa" w:w="80"/>
              <w:right w:type="dxa" w:w="100"/>
            </w:tcMar>
          </w:tcPr>
          <w:p>
            <w:r>
              <w:rPr>
                <w:rFonts w:ascii="Arial" w:cs="Arial" w:eastAsia="Arial" w:hAnsi="Arial"/>
                <w:sz w:val="17"/>
                <w:szCs w:val="17"/>
              </w:rPr>
              <w:t xml:space="preserve">DDoS attack</w:t>
            </w:r>
          </w:p>
        </w:tc>
        <w:tc>
          <w:tcPr>
            <w:tcW w:type="dxa" w:w="1753"/>
            <w:tcBorders>
              <w:top w:val="single" w:color="CCCCCC" w:sz="1"/>
              <w:left w:val="single" w:color="CCCCCC" w:sz="1"/>
              <w:bottom w:val="single" w:color="CCCCCC" w:sz="1"/>
              <w:right w:val="single" w:color="CCCCCC" w:sz="1"/>
            </w:tcBorders>
            <w:shd w:fill="FFB3B3" w:val="clear"/>
            <w:tcMar>
              <w:top w:type="dxa" w:w="80"/>
              <w:left w:type="dxa" w:w="100"/>
              <w:bottom w:type="dxa" w:w="80"/>
              <w:right w:type="dxa" w:w="100"/>
            </w:tcMar>
          </w:tcPr>
          <w:p>
            <w:r>
              <w:rPr>
                <w:rFonts w:ascii="Arial" w:cs="Arial" w:eastAsia="Arial" w:hAnsi="Arial"/>
                <w:sz w:val="17"/>
                <w:szCs w:val="17"/>
              </w:rPr>
              <w:t xml:space="preserve"/>
            </w:r>
          </w:p>
        </w:tc>
      </w:tr>
    </w:tbl>
    <w:sectPr>
      <w:footerReference w:type="default" r:id="rId7"/>
      <w:pgSz w:w="11906" w:h="16838" w:orient="portrait"/>
      <w:pgMar w:top="1440" w:right="170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line="360" w:lineRule="auto"/>
      <w:outlineLvl w:val="0"/>
    </w:pPr>
    <w:rPr>
      <w:rFonts w:ascii="Arial" w:cs="Arial" w:eastAsia="Arial" w:hAnsi="Arial"/>
      <w:b/>
      <w:bCs/>
      <w:color w:val="2E4A7A"/>
      <w:sz w:val="26"/>
      <w:szCs w:val="26"/>
    </w:rPr>
  </w:style>
  <w:style w:type="paragraph" w:styleId="Heading2">
    <w:name w:val="Heading 2"/>
    <w:basedOn w:val="Normal"/>
    <w:next w:val="Normal"/>
    <w:qFormat/>
    <w:pPr>
      <w:spacing w:after="100" w:before="280" w:line="360" w:lineRule="auto"/>
      <w:outlineLvl w:val="1"/>
    </w:pPr>
    <w:rPr>
      <w:rFonts w:ascii="Arial" w:cs="Arial" w:eastAsia="Arial" w:hAnsi="Arial"/>
      <w:b/>
      <w:bCs/>
      <w:color w:val="1F34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2026-06-05T23:46:04.068Z</dcterms:created>
  <dcterms:modified xsi:type="dcterms:W3CDTF">2026-06-05T23:46:04.068Z</dcterms:modified>
</cp:coreProperties>
</file>

<file path=docProps/custom.xml><?xml version="1.0" encoding="utf-8"?>
<Properties xmlns="http://schemas.openxmlformats.org/officeDocument/2006/custom-properties" xmlns:vt="http://schemas.openxmlformats.org/officeDocument/2006/docPropsVTypes"/>
</file>