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sz w:val="32"/>
          <w:szCs w:val="32"/>
        </w:rPr>
        <w:t xml:space="preserve">Reflective Piece: Security and Risk Management Module</w:t>
      </w:r>
    </w:p>
    <w:p>
      <w:pPr>
        <w:spacing w:after="120" w:before="240" w:line="480" w:lineRule="auto"/>
      </w:pPr>
      <w:r>
        <w:rPr>
          <w:rFonts w:ascii="Arial" w:cs="Arial" w:eastAsia="Arial" w:hAnsi="Arial"/>
          <w:b/>
          <w:bCs/>
          <w:sz w:val="28"/>
          <w:szCs w:val="28"/>
        </w:rPr>
        <w:t xml:space="preserve">What?</w:t>
      </w:r>
    </w:p>
    <w:p>
      <w:pPr>
        <w:spacing w:after="80" w:before="80" w:line="480" w:lineRule="auto"/>
      </w:pPr>
      <w:r>
        <w:rPr>
          <w:rFonts w:ascii="Arial" w:cs="Arial" w:eastAsia="Arial" w:hAnsi="Arial"/>
          <w:sz w:val="24"/>
          <w:szCs w:val="24"/>
        </w:rPr>
        <w:t xml:space="preserve">Over this module I worked with one teammate, Sopheaktra, on two connected pieces of coursework for a fictional client, Pampered Pets: an initial risk identification report assessing the business's current operations against a proposed digital transformation, submitted in Unit 6, and a follow-on quantitative risk assessment that put numbers behind the risks we had identified and designed a disaster recovery strategy, submitted in Unit 11. Across the units in between, my artefacts included wiki contributions on risk methodology options, notes from team meetings where we agreed the split of work, and drafts of the Business Impact Analysis section. We split the work by strength from the start. Sopheaktra took the technical side: the network and security architecture, the STRIDE threat modelling, and the implementation timeline. I took the academic research and the writing: choosing and justifying the risk methodology, working through the Business Impact Analysis questions, and making sure the final report met the word count and Essex Harvard referencing requirements. This division worked well; each of us built our section independently and then integrated them, which made the collaboration straightforward with no real friction along the way.</w:t>
      </w:r>
    </w:p>
    <w:p>
      <w:pPr>
        <w:spacing w:after="120" w:before="240" w:line="480" w:lineRule="auto"/>
      </w:pPr>
      <w:r>
        <w:rPr>
          <w:rFonts w:ascii="Arial" w:cs="Arial" w:eastAsia="Arial" w:hAnsi="Arial"/>
          <w:b/>
          <w:bCs/>
          <w:sz w:val="28"/>
          <w:szCs w:val="28"/>
        </w:rPr>
        <w:t xml:space="preserve">So What?</w:t>
      </w:r>
    </w:p>
    <w:p>
      <w:pPr>
        <w:spacing w:after="80" w:before="80" w:line="480" w:lineRule="auto"/>
      </w:pPr>
      <w:r>
        <w:rPr>
          <w:rFonts w:ascii="Arial" w:cs="Arial" w:eastAsia="Arial" w:hAnsi="Arial"/>
          <w:sz w:val="24"/>
          <w:szCs w:val="24"/>
        </w:rPr>
        <w:t xml:space="preserve">Working through both reports changed how I think about risk management as a discipline. Before this module, I understood security mostly in qualitative terms - a system was simply "high risk" or "low risk". Building the quantitative report changed that. Converting a risk into a single expected annual cost, using Annualised Loss Expectancy, made it far easier to explain why a control was worth paying for, compared with just labelling something as a high risk. That distinction has been useful outside the module too: in my own work, I have found that giving people a number to react to gets a very different response, and often a faster decision, than giving them a qualitative label alone. I now try to frame security conversations in those terms wherever I can, because it changes how seriously non-technical audiences take the message.</w:t>
      </w:r>
    </w:p>
    <w:p>
      <w:pPr>
        <w:spacing w:after="80" w:before="80" w:line="480" w:lineRule="auto"/>
      </w:pPr>
      <w:r>
        <w:rPr>
          <w:rFonts w:ascii="Arial" w:cs="Arial" w:eastAsia="Arial" w:hAnsi="Arial"/>
          <w:sz w:val="24"/>
          <w:szCs w:val="24"/>
        </w:rPr>
        <w:t xml:space="preserve">Emotionally, the two reports felt quite different to work on. The first report was more stressful, mainly because we were still working out how to divide the labour and I was not yet confident that a qualitative methodology like ISO 27005 was the right academic choice to defend. Once we had agreed clear roles, the second report felt calmer and more enjoyable, even though the content was more technically demanding; knowing exactly what I was responsible for removed a lot of the low-level anxiety of the first submission. The one point where I did feel some self-doubt was in the sections that leaned on STRIDE and operational technology risk, where I was aware I was relying on Sopheaktra's understanding rather than my own, and that gap in confidence is something I noticed rather than resolved during the module.</w:t>
      </w:r>
    </w:p>
    <w:p>
      <w:pPr>
        <w:spacing w:after="80" w:before="80" w:line="480" w:lineRule="auto"/>
      </w:pPr>
      <w:r>
        <w:rPr>
          <w:rFonts w:ascii="Arial" w:cs="Arial" w:eastAsia="Arial" w:hAnsi="Arial"/>
          <w:sz w:val="24"/>
          <w:szCs w:val="24"/>
        </w:rPr>
        <w:t xml:space="preserve">The teamwork side reinforced something I had suspected but not tested: agreeing roles early, based on genuine strengths rather than splitting every task down the middle, made the whole project faster and less stressful. Sopheaktra's technical grounding meant I did not need to second-guess the architecture decisions, and my focus on the writing meant the reports stayed within scope and met the formatting requirements without last-minute rework. Reflecting honestly, my own strength in this project was research and structure - taking a messy set of requirements and turning them into a clearly organised, evidenced argument. Where I was weaker was in integrating the more technical security concepts, such as STRIDE or the operational technology risks, into my own writing as naturally as Sopheaktra could. I relied on him for that depth rather than building it myself, which is a gap I am aware of rather than one I have closed.</w:t>
      </w:r>
    </w:p>
    <w:p>
      <w:pPr>
        <w:spacing w:after="80" w:before="80" w:line="480" w:lineRule="auto"/>
      </w:pPr>
      <w:r>
        <w:rPr>
          <w:rFonts w:ascii="Arial" w:cs="Arial" w:eastAsia="Arial" w:hAnsi="Arial"/>
          <w:sz w:val="24"/>
          <w:szCs w:val="24"/>
        </w:rPr>
        <w:t xml:space="preserve">I also noticed, particularly in the second report, that applying a theoretical framework to a specific, messy business scenario is harder than it looks on paper. Deciding what counted as a reasonable assumption for a company with no real trading history, for example, required more judgement than any textbook chapter on Annualised Loss Expectancy prepared me for. That was uncomfortable at times, but it was also where most of the actual learning happened.</w:t>
      </w:r>
    </w:p>
    <w:p>
      <w:pPr>
        <w:spacing w:after="120" w:before="240" w:line="480" w:lineRule="auto"/>
      </w:pPr>
      <w:r>
        <w:rPr>
          <w:rFonts w:ascii="Arial" w:cs="Arial" w:eastAsia="Arial" w:hAnsi="Arial"/>
          <w:b/>
          <w:bCs/>
          <w:sz w:val="28"/>
          <w:szCs w:val="28"/>
        </w:rPr>
        <w:t xml:space="preserve">Now What?</w:t>
      </w:r>
    </w:p>
    <w:p>
      <w:pPr>
        <w:spacing w:after="80" w:before="80" w:line="480" w:lineRule="auto"/>
      </w:pPr>
      <w:r>
        <w:rPr>
          <w:rFonts w:ascii="Arial" w:cs="Arial" w:eastAsia="Arial" w:hAnsi="Arial"/>
          <w:sz w:val="24"/>
          <w:szCs w:val="24"/>
        </w:rPr>
        <w:t xml:space="preserve">Going forward, I want to carry two things out of this module. First, the habit of quantifying risk wherever possible, rather than defaulting to qualitative labels, because I have already seen how much more persuasive a number is when trying to justify a decision to people who are not security specialists themselves; this is something I intend to keep using in my own work. Second, I want to close the gap I noticed in my technical fluency. Rather than continuing to lean on a teammate for frameworks like STRIDE, I plan to work through a few applied examples on my own outside of coursework, so that I can integrate that kind of analysis into my own writing with the same confidence I currently have with the research and structuring side. On the teamwork side, I plan to agree roles explicitly at the start of any future group project, as we did here, rather than assuming it will sort itself out, because it clearly made a measurable difference to how smoothly this project ran.</w:t>
      </w:r>
    </w:p>
    <w:p>
      <w:pPr>
        <w:spacing w:after="120" w:before="240" w:line="480" w:lineRule="auto"/>
      </w:pPr>
      <w:r>
        <w:rPr>
          <w:rFonts w:ascii="Arial" w:cs="Arial" w:eastAsia="Arial" w:hAnsi="Arial"/>
          <w:b/>
          <w:bCs/>
          <w:sz w:val="28"/>
          <w:szCs w:val="28"/>
        </w:rPr>
        <w:t xml:space="preserve">References</w:t>
      </w:r>
    </w:p>
    <w:p>
      <w:pPr>
        <w:spacing w:after="80" w:before="80" w:line="480" w:lineRule="auto"/>
      </w:pPr>
      <w:r>
        <w:rPr>
          <w:rFonts w:ascii="Arial" w:cs="Arial" w:eastAsia="Arial" w:hAnsi="Arial"/>
          <w:sz w:val="24"/>
          <w:szCs w:val="24"/>
        </w:rPr>
        <w:t xml:space="preserve">Rolfe, G., Freshwater, D. and Jasper, M. (2001) Critical reflection in nursing and the helping professions: a user's guide. Basingstoke: Palgrave Macmillan.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sz w:val="18"/>
        <w:szCs w:val="18"/>
      </w:rPr>
      <w:t xml:space="preserve">E-portfolio: [insert your e-portfolio web page address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2026-07-19T11:19:25.986Z</dcterms:created>
  <dcterms:modified xsi:type="dcterms:W3CDTF">2026-07-19T11:19:25.987Z</dcterms:modified>
</cp:coreProperties>
</file>

<file path=docProps/custom.xml><?xml version="1.0" encoding="utf-8"?>
<Properties xmlns="http://schemas.openxmlformats.org/officeDocument/2006/custom-properties" xmlns:vt="http://schemas.openxmlformats.org/officeDocument/2006/docPropsVTypes"/>
</file>