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 of Learning Outcomes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This summary maps the four learning outcomes for the Security and Risk Management module to the evidence produced during the module, most of which is included elsewhere in this e-portfolio.</w:t>
      </w:r>
    </w:p>
    <w:p>
      <w:pPr>
        <w:spacing w:after="120" w:before="24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Identify and analyse critically security risks, threats and vulnerabilities in information systems, accounting for the current threat landscape.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Evidenced in the initial risk identification report (Unit 6), where I selected and justified ISO/IEC 27005:2018 as the risk assessment methodology for Pampered Pets' current operations, and in the follow-on quantitative report (Unit 11), which enumerated and quantified supply chain and quality risks using a three-point probability model.</w:t>
      </w:r>
    </w:p>
    <w:p>
      <w:pPr>
        <w:spacing w:after="120" w:before="24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Gather and synthesise information from multiple sources (including internet security alerts &amp; warning sites) to aid in the systematic analysis of risks &amp; security issues.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Evidenced by the range of sources used across both reports, including ISO standards, NIST guidance (SP 800-34 and the Cybersecurity Framework 2.0), ENISA's Threat Landscape report, and IBM's Cost of a Data Breach report, all synthesised to support the quantitative risk figures and the disaster recovery strategy.</w:t>
      </w:r>
    </w:p>
    <w:p>
      <w:pPr>
        <w:spacing w:after="120" w:before="24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Critically determine appropriate methodologies, tools and techniques to mitigate and/or solve security risks and their business impact.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Evidenced by the selection and justification of Annualised Loss Expectancy and a PERT-based probability model for the quantitative report, and by the prioritised, business-benefit-linked recommendations table (Section 3), which ties each control to its commercial impact.</w:t>
      </w:r>
    </w:p>
    <w:p>
      <w:pPr>
        <w:spacing w:after="120" w:before="240" w:line="48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Articulate the legal, social, ethical, and professional issues faced by information security and risk professionals.</w:t>
      </w:r>
    </w:p>
    <w:p>
      <w:pPr>
        <w:spacing w:after="80" w:before="80" w:line="480" w:lineRule="auto"/>
      </w:pPr>
      <w:r>
        <w:rPr>
          <w:rFonts w:ascii="Arial" w:cs="Arial" w:eastAsia="Arial" w:hAnsi="Arial"/>
          <w:sz w:val="24"/>
          <w:szCs w:val="24"/>
        </w:rPr>
        <w:t xml:space="preserve">Evidenced by the treatment of GDPR compliance as a mandatory business requirement rather than an optional control in the quantitative report, and by the discussion of vendor lock-in trade-offs in the disaster recovery strategy.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2026-07-19T11:44:50.271Z</dcterms:created>
  <dcterms:modified xsi:type="dcterms:W3CDTF">2026-07-19T11:44:50.284Z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