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Планы строительных конструкций и фундаментов с предварительными нагрузками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Ведомость предварительных нагрузок, включая динамические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ОВЭ75-БИ-Л3-НГ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D-15, D-16.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предварительные нагрузки от технологического оборудования Лота №3 «Отделение электроэкстракции» на строительные конструкции и фундаменты и требования к строительной части, необходимые для разработки конструктивных решений. Документ выполняет требования состава Базового инжиниринга «Планы строительных конструкций с нагрузками» и «Планы фундаментов с предварительными нагрузками, включая предварительные динамические нагрузки (с запасом)» (ТЗ на БИ ред. 4.1).</w:t>
      </w:r>
    </w:p>
    <w:p>
      <w:r>
        <w:rPr>
          <w:sz w:val="20"/>
        </w:rPr>
        <w:t xml:space="preserve">Текстовая часть включает ведомость предварительных нагрузок по оборудованию лота, раздел динамических нагрузок, требования к строительной части и перечень характеристик, уточняемых по техническим предложениям изготовителей. Графическая часть — планы на характерных отметках и разрезы с привязкой оборудования к разбивочным осям — выпускается в составе компоновочных решений лота; нагрузки настоящего документа наносятся на эти планы по узлам опирания в форме, приведённой в разделе 7.</w:t>
      </w:r>
    </w:p>
    <w:p>
      <w:r>
        <w:rPr>
          <w:sz w:val="20"/>
        </w:rPr>
        <w:t xml:space="preserve">Базис размещения — новое строительство корпуса 36 × 190 м смежно с участками комплекса (ТЗ ред. 4.1 п. 1.3). Приспособление существующего корпуса электрорафинирования меди металлургического цеха сохранено как резервный сценарий: корпус проектировался под ванны электрорафинирования, суммарная нагрузка сопоставима, но раскладка опор иная, поэтому поверочный расчёт несущих конструкций подванных отметок и подкрановых путей обязателен.</w:t>
      </w:r>
    </w:p>
    <w:p>
      <w:r>
        <w:rPr>
          <w:color w:val="666666"/>
          <w:sz w:val="17"/>
        </w:rPr>
        <w:t xml:space="preserve">Источник: ИД ч.2 (табл. 4.2, п. 4.2.2, приложение В — строительное задание на отделение); ТЗ на БИ ред. 4.1 (п. 1.3 — базис размещения, п. 2.9 — условия площадки);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ОВЭ75-БИ-Л3-КР — Компоновочные решения (планы, разрезы)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ОВЭ75-БИ-Л3-МТ — Требования к монтажу (включая вес самых тяжёлых частей)</w:t>
      </w:r>
    </w:p>
    <w:p>
      <w:pPr>
        <w:pStyle w:val="Heading2"/>
      </w:pPr>
      <w:r>
        <w:rPr>
          <w:b/>
          <w:sz w:val="24"/>
        </w:rPr>
        <w:t xml:space="preserve">1.2 Стадия достоверности нагрузок</w:t>
      </w:r>
    </w:p>
    <w:p>
      <w:r>
        <w:rPr>
          <w:sz w:val="20"/>
        </w:rPr>
        <w:t xml:space="preserve">Нагрузки настоящего документа предварительные. На стадии Базового инжиниринга часть масс задана исходными данными Заказчика, часть получена расчётом по объёмам и плотностям, часть оценена по геометрии и аналогам, часть изготовителем не задана и определяется после выбора поставщика. Каждая строка ведомости относится к одной из четырёх категорий достоверности; порядок использования значений при проектировании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100"/>
        <w:gridCol w:w="2700"/>
        <w:gridCol w:w="2400"/>
        <w:gridCol w:w="3154"/>
      </w:tblGrid>
      <w:tr>
        <w:trPr>
          <w:tblHeader/>
          <w:cantSplit/>
        </w:trPr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Использование в расчёте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уточнения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А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Масса или нагрузка задана исходными данными Заказчика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без изменения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при выдаче конструкторской документации изготовителя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Б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Нагрузка получена расчётом по объёму, плотности и уровню заполнения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как предварительная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фактическим плотностям и уровням заполнения на стадии БИ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В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Предварительная оценка Исполнителя по геометрии и аналогам; задана диапазоном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верхняя граница диапазона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опросным листам и техническим предложениям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Г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Резервируются место установки и предельная масса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Вносится по ТКП при выдаче строительного задания</w:t>
            </w:r>
          </w:p>
        </w:tc>
      </w:tr>
    </w:tbl>
    <w:p>
      <w:r>
        <w:rPr>
          <w:sz w:val="20"/>
        </w:rPr>
        <w:t xml:space="preserve">Общее правило выпуска: там, где значение задано диапазоном, в расчёт конструкций принимается верхняя граница диапазона; там, где значение не задано, в планах резервируются место установки и предельная масса, а расчёт выполняется повторно после получения данных изготовителя. Коэффициенты надёжности по нагрузке и сочетания принимаются по СП 20.13330: для оборудования с известной массой 1,05–1,2, для жидкости 1,2.</w:t>
      </w:r>
    </w:p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уточняется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1.3 Нормативная база расчёта нагрузок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 в расчёте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воздействия: сочетания, крановые динамические коэффициенты, снег V/ветер II районов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14.13330.2018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Строительство в сейсмических районах (6 баллов)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Химзащита фундаментов и подванных конструкций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34467-2018 / ФНП № 461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Краны мостовые: группы режимов, требования безопасности (номер ГОСТ уточняется)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29.13330.2011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Полы: уклоны, зумпфы, химстойкие покрытия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961-89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Плитки кислотоупорные и термокислотоупорные керамические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72.13330.2016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Производство и приёмка работ по антикоррозионной защите (скрытые слои)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ПУЭ (изд. 7), разд. 7.10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Изоляция ванн от строительных конструкций, контроль блуждающих токов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Климатические, сейсмические и температурные воздействия</w:t>
      </w:r>
    </w:p>
    <w:p>
      <w:r>
        <w:rPr>
          <w:sz w:val="20"/>
        </w:rPr>
        <w:t xml:space="preserve">Условия площадки — промышленная площадка в городе Мончегорске Мурманской области —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Воздействие, 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наружного воздуха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Наиболее холодная пятидневка −34 °C (обеспеченность 0,98) и −30 °C (0,92); наиболее холодные сутки −40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Грунтовые условия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Особые условия (мерзлота, просадочность, карст) не выявлены; инженерно-геологические изыскания пятна застройки — в составе БИ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2.9.6</w:t>
            </w:r>
          </w:p>
        </w:tc>
      </w:tr>
    </w:tbl>
    <w:p>
      <w:r>
        <w:rPr>
          <w:sz w:val="20"/>
        </w:rPr>
        <w:t xml:space="preserve">Снеговая и ветровая нагрузки учитываются при проверке покрытия, в том числе при устройстве новых проёмов под воздуховоды аспирации ванн. Сейсмическое воздействие 6 баллов учитывается антисейсмическими упорами опор ванн (требование строительного задания поставщика ванн) и проверкой по СП 14.13330.2018.</w:t>
      </w:r>
    </w:p>
    <w:p>
      <w:pPr>
        <w:pStyle w:val="Heading1"/>
      </w:pPr>
      <w:r>
        <w:rPr>
          <w:b/>
          <w:sz w:val="28"/>
        </w:rPr>
        <w:t xml:space="preserve">3. Ведомость предварительных нагрузок от технологического оборудования</w:t>
      </w:r>
    </w:p>
    <w:p>
      <w:r>
        <w:rPr>
          <w:sz w:val="20"/>
        </w:rPr>
        <w:t xml:space="preserve">Ведомость составлена по перечню основного и вспомогательного технологического оборудования лота. Массы приведены в тоннах: «пустого» — масса оборудования без заполнения, «рабочая» — масса в рабочем состоянии с материалом, раствором или водой. Статическая нагрузка приведена в единицах источника; при отсутствии данных изготовителя указан порядок уточнения. Графа динамической составляющей заполняется для всех позиций: для машин с вращающимися частями — с указанием частоты возмущения, для остальных — с указанием принятого коэффициента динамичности либо отсутствия динамики.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1630"/>
        <w:gridCol w:w="1350"/>
        <w:gridCol w:w="1554"/>
        <w:gridCol w:w="1300"/>
        <w:gridCol w:w="1450"/>
        <w:gridCol w:w="155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63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Наименование, тип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Отметка, место установки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Масса, т: пустого / рабочая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Тип опирания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Статическая нагрузка</w:t>
            </w:r>
          </w:p>
        </w:tc>
        <w:tc>
          <w:tcPr>
            <w:tcW w:w="1550" w:type="dxa"/>
            <w:shd w:val="clear" w:fill="EFEFEF"/>
          </w:tcPr>
          <w:p>
            <w:r>
              <w:rPr>
                <w:b/>
                <w:sz w:val="15"/>
              </w:rPr>
              <w:t xml:space="preserve">Динамическая составляющая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Электролиз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Электролизная ванна</w:t>
            </w:r>
          </w:p>
          <w:p>
            <w:r>
              <w:rPr>
                <w:color w:val="666666"/>
                <w:sz w:val="13"/>
              </w:rPr>
              <w:t xml:space="preserve">поз. 4.2.3 по ИД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Подванные конструкции зала; борт +1,0…+1,2 от пола; ряды по 45 ванн, шаг 1,40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8,7 (полимербетонный корпус ≈8,8 × 1,5 × 1,8 м)</w:t>
            </w:r>
          </w:p>
          <w:p>
            <w:r>
              <w:rPr>
                <w:sz w:val="14"/>
              </w:rPr>
              <w:t xml:space="preserve">Рабочая: 41,0; при обслуживании до 51,4 (см. примечание 1)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 КВАНТ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4–6 опорных тумб с двухступенчатой электроизоляцией и антисейсмическими упорами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Эквивалентная 36 кПа (41,0 т на 11,37 м²); при обслуживании до 45 кПа; погонная 29,3 т/м ряда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Собственной нет; кратковременно 8,7 т от закорачивающей рамы на борта соседних ванн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Аноды из свинцового сплава</w:t>
            </w:r>
          </w:p>
          <w:p>
            <w:r>
              <w:rPr>
                <w:color w:val="666666"/>
                <w:sz w:val="13"/>
              </w:rPr>
              <w:t xml:space="preserve">Pb-Ca / Pb-Ag сплавы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 ваннах, подвес на бортах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5,525 на ванну (85 шт. по 65 кг)</w:t>
            </w:r>
          </w:p>
          <w:p>
            <w:r>
              <w:rPr>
                <w:sz w:val="14"/>
              </w:rPr>
              <w:t xml:space="preserve">Рабочая: То же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Через борта ванны на опорные тумбы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Учтены в рабочей массе ванны 41,0 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Катодные матрицы (постоянные катоды)</w:t>
            </w:r>
          </w:p>
          <w:p>
            <w:r>
              <w:rPr>
                <w:color w:val="666666"/>
                <w:sz w:val="13"/>
              </w:rPr>
              <w:t xml:space="preserve">Система SPLIT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 ваннах, подвес на бортах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≈4,2–4,6 на ванну (84 шт. без осадка)</w:t>
            </w:r>
          </w:p>
          <w:p>
            <w:r>
              <w:rPr>
                <w:sz w:val="14"/>
              </w:rPr>
              <w:t xml:space="preserve">Рабочая: 11,592 на ванну с наращённым металлом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Через борта ванны на опорные тумбы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Учтены в рабочей массе ванны 41,0 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При выгрузке комплекта нагрузка переходит на подкрановые конструкции;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Ошиновка ванн</w:t>
            </w:r>
          </w:p>
          <w:p>
            <w:r>
              <w:rPr>
                <w:color w:val="666666"/>
                <w:sz w:val="13"/>
              </w:rPr>
              <w:t xml:space="preserve">Конструкция с двойным контактом разработки Outotec или аналоги; кол-во: Комплект на 180 ванн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Межванновые сборные шины в зазорах 85 мм; шинные мосты по торцам серий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 (медь, ≈42–47 тыс. мм² на серию)</w:t>
            </w:r>
          </w:p>
          <w:p>
            <w:r>
              <w:rPr>
                <w:sz w:val="14"/>
              </w:rPr>
              <w:t xml:space="preserve">Рабочая: То же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На борта ванн через изоляторы; мосты — на самостоятельных опорах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Передаётся на борта ванн и опоры мостов; значения по данным поставщика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Аспирационные укрытия ванн</w:t>
            </w:r>
          </w:p>
          <w:p>
            <w:r>
              <w:rPr>
                <w:color w:val="666666"/>
                <w:sz w:val="13"/>
              </w:rPr>
              <w:t xml:space="preserve">Бортовой отсос + легкосъёмный колпак; кол-во: 180 комплектов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Колпаки и бортовой отсос на ваннах; сборный воздуховод в межрядном пространстве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</w:t>
            </w:r>
          </w:p>
          <w:p>
            <w:r>
              <w:rPr>
                <w:sz w:val="14"/>
              </w:rPr>
              <w:t xml:space="preserve">Рабочая: То же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4.2; прил. В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Колпаки — на бортах ванн; воздуховод — на независимых стойках и подвесках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данным поставщика; нагрузка воздуховода — на конструкции здания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Циркуляция электролита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Циркуляционный бак (бак питания ванн)</w:t>
            </w:r>
          </w:p>
          <w:p>
            <w:r>
              <w:rPr>
                <w:color w:val="666666"/>
                <w:sz w:val="13"/>
              </w:rPr>
              <w:t xml:space="preserve">Бак с перегородкой; поз. 4.2.1 по ИД; кол-во: 2 (по числу серий)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Электролитное отделение, отметка ниже ванн для самотёчного слива; 2 × 300 м³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25–40 в стальном исполнении (ориентировочно)</w:t>
            </w:r>
          </w:p>
          <w:p>
            <w:r>
              <w:rPr>
                <w:sz w:val="14"/>
              </w:rPr>
              <w:t xml:space="preserve">Рабочая: ≈380–400 брутто каждый (300 м³ × 1,2 т/м³ и тара)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4.2; расчёт КВАНТ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Отдельный фундамент; кислотоупорный поддон на 100 % объёма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≈380–400 т на фундамент каждого бака; жёсткое требование к осадкам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заполнение и опорожнение — длительная переменная нагрузка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Холодильник электролита пластинчатый</w:t>
            </w:r>
          </w:p>
          <w:p>
            <w:r>
              <w:rPr>
                <w:color w:val="666666"/>
                <w:sz w:val="13"/>
              </w:rPr>
              <w:t xml:space="preserve">Пластинчатый теплообменник, охлаждение водой; поз. 4.2.2 по ИД; кол-во: 2 (по числу серий)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Электролитное отделение,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изготовителя</w:t>
            </w:r>
          </w:p>
          <w:p>
            <w:r>
              <w:rPr>
                <w:sz w:val="14"/>
              </w:rPr>
              <w:t xml:space="preserve">Рабочая: По данным изготовителя, с заполнением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на фундаменте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В объём БИ по лоту не входит; нагрузки — задание смежному проектировщику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Обработка катодов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Роботизированная катодосдирочная машина (КСМ)</w:t>
            </w:r>
          </w:p>
          <w:p>
            <w:r>
              <w:rPr>
                <w:color w:val="666666"/>
                <w:sz w:val="13"/>
              </w:rPr>
              <w:t xml:space="preserve">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Торец зала у ворот склада готовой продукции, 0,000; зона 30–35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 (станция сдирки — самый тяжёлый блок)</w:t>
            </w:r>
          </w:p>
          <w:p>
            <w:r>
              <w:rPr>
                <w:sz w:val="14"/>
              </w:rPr>
              <w:t xml:space="preserve">Рабочая: По данным поставщика, с матрицами и промывными растворами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4.2; прил. В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на фундаменте; химстойкий пол с трапами; гидростанция 120 бар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строительному заданию поставщика (прил. В, п. 15)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Циклические знакопеременные усилия манипуляторов и станции сдирки;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формирования пакетов катодов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КСМ, 0,000; выход пакетного конвейера к передаточным воротам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</w:t>
            </w:r>
          </w:p>
          <w:p>
            <w:r>
              <w:rPr>
                <w:sz w:val="14"/>
              </w:rPr>
              <w:t xml:space="preserve">Рабочая: Пакеты 1400–2000 кг (по заданию сбыта 2500 ± 50 кг)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 через закладные детали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Нагрузка накопителя пакетов на плиту пола — по компоновке поставщика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КСМ,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</w:t>
            </w:r>
          </w:p>
          <w:p>
            <w:r>
              <w:rPr>
                <w:sz w:val="14"/>
              </w:rPr>
              <w:t xml:space="preserve">Рабочая: По данным поставщика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данным поставщика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Подъёмно-транспортное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  <w:p>
            <w:r>
              <w:rPr>
                <w:color w:val="666666"/>
                <w:sz w:val="13"/>
              </w:rPr>
              <w:t xml:space="preserve">кол-во: 2 (по одному на серию/пролёт)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Подкрановые пути пролётов серий; отметки существующих путей +8,65…+10,60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Мост и тележка — по ТКП</w:t>
            </w:r>
          </w:p>
          <w:p>
            <w:r>
              <w:rPr>
                <w:sz w:val="14"/>
              </w:rPr>
              <w:t xml:space="preserve">Рабочая: Груз до 11,6 плюс траверса 3–5; требуемая г/п ориентировочно 16–20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расчёт; СП 20.13330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Подкрановые балки и колонны; при использовании существующих путей — поверочный расчёт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Колёсные нагрузки — по ТКП крана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Группа режима не легче А6/М7; вертикальные и горизонтальные крановые;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Автоматизированная транспортировка пакетов катодной меди на СГП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Трасса от зоны КСМ к воротам склада готовой продукции,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</w:t>
            </w:r>
          </w:p>
          <w:p>
            <w:r>
              <w:rPr>
                <w:sz w:val="14"/>
              </w:rPr>
              <w:t xml:space="preserve">Рабочая: С пакетом 1400–2500 кг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конвейера на плиту пола через закладные детали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трассы и пакетов — по данным поставщика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Реагенты (вне табл. 4.2)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Ёмкости приготовления, хранения и дозирования коллоидной добавки</w:t>
            </w:r>
          </w:p>
          <w:p>
            <w:r>
              <w:rPr>
                <w:color w:val="666666"/>
                <w:sz w:val="13"/>
              </w:rPr>
              <w:t xml:space="preserve">кол-во: 2 (поочерёдно работающие)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Узел реагентов электролитного отделения, 0,000,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С заполнением на 12 ч работы каждой ёмкости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 в поддоне; тихоходные рамные мешалки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 и объёму заполнения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Тихоходные мешалки; коэффициент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Питание током (не в БИ)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Выпрямители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Существующая преобразовательная подстанция у торца зала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изготовителя</w:t>
            </w:r>
          </w:p>
          <w:p>
            <w:r>
              <w:rPr>
                <w:sz w:val="14"/>
              </w:rPr>
              <w:t xml:space="preserve">Рабочая: По данным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 п. 5.3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Существующие фундаменты подстанции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В объём БИ по лоту не входит; нагрузки — задание смежному проектировщику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</w:tbl>
    <w:p>
      <w:r>
        <w:rPr>
          <w:color w:val="555555"/>
          <w:sz w:val="17"/>
        </w:rPr>
        <w:t xml:space="preserve">Все значения ведомости предварительные и подлежат подтверждению по опросным листам и техническим предложениям изготовителей; коэффициенты, отмеченные как предварительные, приняты решением стадии БИ до получения паспортных данных.</w:t>
      </w:r>
    </w:p>
    <w:p>
      <w:pPr>
        <w:pStyle w:val="Heading2"/>
      </w:pPr>
      <w:r>
        <w:rPr>
          <w:b/>
          <w:sz w:val="24"/>
        </w:rPr>
        <w:t xml:space="preserve">3.1 Примечания к ведомости</w:t>
      </w:r>
    </w:p>
    <w:p>
      <w:r>
        <w:rPr>
          <w:sz w:val="20"/>
        </w:rPr>
        <w:t xml:space="preserve">1. Состав рабочей массы ванны 41,0 т: корпус 8,7 + электролит 14,9 + аноды 5,525 + катоды с наращённым металлом 11,592 + остаток шлама 0,25. Объём электролита при уровне 1340 мм: 8,485 × 1,155 × 1,34 = 13,13 м³ за вычетом вытеснения электродами (катоды 0,27 м³, аноды 0,46 м³) — 12,4 м³ при плотности 1,2 т/м³.</w:t>
      </w:r>
    </w:p>
    <w:p>
      <w:r>
        <w:rPr>
          <w:sz w:val="20"/>
        </w:rPr>
        <w:t xml:space="preserve">2. Расчётный случай обслуживания: 41,0 + 10,0 (сборка подъёмной и закорачивающей рам) + 0,4 (персонал) = 51,4 т. Закорачивающая рама 8,7 т опирается на борта соседних ванн.</w:t>
      </w:r>
    </w:p>
    <w:p>
      <w:r>
        <w:rPr>
          <w:sz w:val="20"/>
        </w:rPr>
        <w:t xml:space="preserve">3. Удельные нагрузки 36 и 45 кПа приведены для сопоставления с несущей способностью перекрытий. Фактическая передача — сосредоточенная, через опорные тумбы с электроизоляцией; точечные нагрузки и их разложение по осям выдаёт поставщик ванн в строительном задании.</w:t>
      </w:r>
    </w:p>
    <w:p>
      <w:r>
        <w:rPr>
          <w:sz w:val="20"/>
        </w:rPr>
        <w:t xml:space="preserve">4. Суммарная нагрузка: серия из 90 ванн около 3690 т, отделение из 180 ванн около 7380 т без рам и кранов. Значения используются для оценки воздействия на основание и сопоставления с несущей способностью существующего корпуса.</w:t>
      </w:r>
    </w:p>
    <w:p>
      <w:pPr>
        <w:pStyle w:val="Heading2"/>
      </w:pPr>
      <w:r>
        <w:rPr>
          <w:b/>
          <w:sz w:val="24"/>
        </w:rPr>
        <w:t xml:space="preserve">3.2 Прочие нагрузки и воздействия</w:t>
      </w:r>
    </w:p>
    <w:p>
      <w:r>
        <w:rPr>
          <w:sz w:val="20"/>
        </w:rPr>
        <w:t xml:space="preserve">В таблице приведены нагрузки, не отнесённые к отдельным единицам оборудования: нагрузки от трубопроводов и газоходов, крановые, полезные нагрузки перекрытий, монтажные и ремонтные воздействия.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"/>
        <w:gridCol w:w="1750"/>
        <w:gridCol w:w="1900"/>
        <w:gridCol w:w="2200"/>
        <w:gridCol w:w="1950"/>
        <w:gridCol w:w="1154"/>
      </w:tblGrid>
      <w:tr>
        <w:trPr>
          <w:tblHeader/>
          <w:cantSplit/>
        </w:trPr>
        <w:tc>
          <w:tcPr>
            <w:tcW w:w="40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Место приложения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950" w:type="dxa"/>
            <w:shd w:val="clear" w:fill="EFEFEF"/>
          </w:tcPr>
          <w:p>
            <w:r>
              <w:rPr>
                <w:b/>
                <w:sz w:val="15"/>
              </w:rPr>
              <w:t xml:space="preserve">Учёт в расчёте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Суммарная нагрузка от ванн на здание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Подванные конструкции электролизного зала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Серия 90 ванн ≈3690 т; отделение 180 ванн ≈7380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Оценка суммарного воздействия на основание и сопоставление с несущей способностью корпуса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Эксплуатационные добавки к нагрузке ванны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Борта и опоры ванн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Персонал 0,4 т; опирание рамы позиционирования крана 0,3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в расчётном случае обслуживания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Коэффициенты надёжности по нагрузке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Все расчётные сочетания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γf = 1,05–1,2 для оборудования с известной массой; γf = 1,2 для жидкости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Сочетания по СП 20.13330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Нагрузка на подкрановые конструкции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Подкрановые пути пролётов серий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Груз до 11,6 т плюс траверса 3–5 т; г/п ориентировочно 16–20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Обязателен поверочный расчёт существующих путей и колонн при модернизации кранов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Монтажные нагрузки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Монтажные проёмы торца зала, трасса подачи ванн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Ванна 8,7 т; сборка рам 10,0 т; циркуляционный бак — секциями либо по месту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Подъём ванн траверсой за штатные точки; перекос недопустим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Нагрузки на покрытие при новых проёмах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Покрытие зала в местах прохода воздуховодов аспирации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Снеговая 3,2 кПа, ветровая 0,30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Проверка покрытия при устройстве новых проёмов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ТЗ п. 2.9.3–2.9.4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Сводка определяющих нагрузок лота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4900"/>
        <w:gridCol w:w="14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Ванна в работе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41,0 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Ванна при обслуживании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До 51,4 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Эквивалентная удельная нагрузка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36 кПа в эксплуатации; до 45 кПа при обслуживании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Погонная нагрузка ряда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29,3 т на метр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Серия из 90 ванн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≈3690 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Отделение из 180 ванн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≈7380 т (без рам и кранов)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Циркуляционный бак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≈380–400 т брутто на фундамент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Динамические нагрузки</w:t>
      </w:r>
    </w:p>
    <w:p>
      <w:r>
        <w:rPr>
          <w:sz w:val="20"/>
        </w:rPr>
        <w:t xml:space="preserve">Машин с неуравновешенными вращающимися массами в отделении нет. Определяющие динамические воздействия — крановые нагрузки при высокой интенсивности циклов обслуживания ванн и циклические усилия катодосдирочной машины; дополнительно учитывается кратковременная нагрузка от перестановки закорачивающей рамы.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"/>
        <w:gridCol w:w="1800"/>
        <w:gridCol w:w="1250"/>
        <w:gridCol w:w="1000"/>
        <w:gridCol w:w="2200"/>
        <w:gridCol w:w="2724"/>
      </w:tblGrid>
      <w:tr>
        <w:trPr>
          <w:tblHeader/>
          <w:cantSplit/>
        </w:trPr>
        <w:tc>
          <w:tcPr>
            <w:tcW w:w="38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Машина, воздействие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Частота возмущения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 воздействия</w:t>
            </w:r>
          </w:p>
        </w:tc>
        <w:tc>
          <w:tcPr>
            <w:tcW w:w="2724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требование к фундаменту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Специальные автоматические краны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Циклы подъёма и торможения; около 28 обслуживаний ванн в сутки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Груз до 11,6 плюс траверса 3–5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Вертикальные динамические воздействия на подкрановые балки; горизонтальные поперечные — от торможения тележки с грузом на гибком подвесе; продольные — от торможения моста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Группа режима работы не легче А6/М7; коэффициенты по СП 20.13330 по группе режима; обязателен поверочный расчёт существующих путей и колонн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Катодосдирочная машина</w:t>
            </w:r>
          </w:p>
          <w:p>
            <w:r>
              <w:rPr>
                <w:color w:val="666666"/>
                <w:sz w:val="13"/>
              </w:rPr>
              <w:t xml:space="preserve">1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Производительность 105–120 матриц/ч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данным поставщика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Циклические знакопеременные усилия манипуляторов и станции сдирки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Требования к жёсткости основания и динамические коэффициенты — по строительному заданию поставщика (прил. В, п. 15)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Перестановка закорачивающей рамы</w:t>
            </w:r>
          </w:p>
          <w:p>
            <w:r>
              <w:rPr>
                <w:color w:val="666666"/>
                <w:sz w:val="13"/>
              </w:rPr>
              <w:t xml:space="preserve">По циклу обслуживания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Кратковременное воздействие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8,7 (рама)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Кратковременная сосредоточенная нагрузка на борта двух соседних ванн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Учтена в прочности бортов ванн; на конструкции передаётся через опорные тумбы</w:t>
            </w:r>
          </w:p>
          <w:p>
            <w:r>
              <w:rPr>
                <w:color w:val="666666"/>
                <w:sz w:val="13"/>
              </w:rPr>
              <w:t xml:space="preserve">Источник: ИД ч.2 прил. В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Мешалки узла реагентов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Тихоходные приводы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Малые динамические добавки к статической нагрузке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динамичности 1,1–1,2 (предварительно)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</w:tr>
    </w:tbl>
    <w:p>
      <w:r>
        <w:rPr>
          <w:color w:val="555555"/>
          <w:sz w:val="17"/>
        </w:rPr>
        <w:t xml:space="preserve">Коэффициенты динамичности, массы фундаментных блоков и границы отстройки частот, приведённые выше, предварительные: они приняты решением стадии БИ до получения паспортных динамических данных изготовителей и подлежат подтверждению расчётом амплитуд после выбора машин.</w:t>
      </w:r>
    </w:p>
    <w:p>
      <w:pPr>
        <w:pStyle w:val="Heading1"/>
      </w:pPr>
      <w:r>
        <w:rPr>
          <w:b/>
          <w:sz w:val="28"/>
        </w:rPr>
        <w:t xml:space="preserve">5. Требования к строительной части</w:t>
      </w:r>
    </w:p>
    <w:p>
      <w:r>
        <w:rPr>
          <w:sz w:val="20"/>
        </w:rPr>
        <w:t xml:space="preserve">Требования настоящего раздела выдаются строительному разделу как задание. Они определяют конструктивные элементы, без которых приведённые нагрузки не могут быть восприняты либо оборудование не может быть смонтировано и обслужено.</w:t>
      </w:r>
    </w:p>
    <w:p>
      <w:r>
        <w:rPr>
          <w:b/>
          <w:sz w:val="21"/>
        </w:rPr>
        <w:t xml:space="preserve">Подванные конструкции</w:t>
      </w:r>
    </w:p>
    <w:p>
      <w:r>
        <w:rPr>
          <w:sz w:val="20"/>
        </w:rPr>
        <w:t xml:space="preserve">Под рядами ванн выполняется непрерывный кислотоупорный пол-поддон с бортиком и зумпфами; в проходах и по трассе переноса матриц краном — полы с уклонами к сливным карманам. Подванное пространство вмещает рельсы мобильного нутч-фильтра, систему отвода избыточного раствора на гибкой подводке и сливные карманы.</w:t>
      </w:r>
    </w:p>
    <w:p>
      <w:r>
        <w:rPr>
          <w:b/>
          <w:sz w:val="21"/>
        </w:rPr>
        <w:t xml:space="preserve">Кислотозащита</w:t>
      </w:r>
    </w:p>
    <w:p>
      <w:r>
        <w:rPr>
          <w:sz w:val="20"/>
        </w:rPr>
        <w:t xml:space="preserve">Среда — электролит 112–120 кг/м³ серной кислоты при 50 °C и аэрозоль кислоты; по СП 28.13330 это сильноагрессивная среда для бетона и арматуры. Принимается принцип двух барьеров: первичная защита — бетоны повышенной плотности и водонепроницаемости; вторичная — непроницаемый подслой (химстойкая мембрана или оклеечная изоляция) и износостойкое покрытие: кислотоупорная керамическая плитка по ГОСТ 961-89 на химстойких замазках в зонах механических воздействий, монолитные винилэфирные покрытия в проходах. Термостойкость материалов — до 50 °C по электролиту, в зоне катодосдирочной машины до 90–115 °C.</w:t>
      </w:r>
    </w:p>
    <w:p>
      <w:r>
        <w:rPr>
          <w:b/>
          <w:sz w:val="21"/>
        </w:rPr>
        <w:t xml:space="preserve">Поддоны и объёмы защиты</w:t>
      </w:r>
    </w:p>
    <w:p>
      <w:r>
        <w:rPr>
          <w:sz w:val="20"/>
        </w:rPr>
        <w:t xml:space="preserve">Поддоны выполняются на 100 % объёма наибольшей ёмкости (для циркуляционного бака — 300 м³); зона катодосдирочной машины — химстойкий пол с трапами и оборотом промывных вод. Ориентировочный объём защищаемых полов для нового корпуса — около 7,8 тыс. м² (зал 36 × 190 м и электролитный пристрой 24 × 42 м) плюс зумпфы, карманы, фундаменты ванн и поддоны баков.</w:t>
      </w:r>
    </w:p>
    <w:p>
      <w:r>
        <w:rPr>
          <w:b/>
          <w:sz w:val="21"/>
        </w:rPr>
        <w:t xml:space="preserve">Электрокоррозионная безопасность</w:t>
      </w:r>
    </w:p>
    <w:p>
      <w:r>
        <w:rPr>
          <w:sz w:val="20"/>
        </w:rPr>
        <w:t xml:space="preserve">Постоянный ток серий 42,45 кА — источник блуждающих токов через проливы и конструкции. Мероприятия: двухступенчатая электроизоляция опор ванн, электрические разрывы трубопроводов на подаче и приёме, изолирующие стыки закладных рельсов нутч-фильтра, периодический контроль сопротивления изоляции ванн и серий. Секционирование арматурных сеток подванной плиты и контроль потенциалов определяются на стадии БИ совместно со строительным разделом.</w:t>
      </w:r>
    </w:p>
    <w:p>
      <w:r>
        <w:rPr>
          <w:b/>
          <w:sz w:val="21"/>
        </w:rPr>
        <w:t xml:space="preserve">Фундаменты бакового хозяйства</w:t>
      </w:r>
    </w:p>
    <w:p>
      <w:r>
        <w:rPr>
          <w:sz w:val="20"/>
        </w:rPr>
        <w:t xml:space="preserve">Циркуляционные баки 2 × 300 м³ — отдельные фундаменты с жёстким требованием к неравномерности осадок и кислотоупорным поддоном на полный объём. Все фундаменты — с химзащитой по СП 28.13330; производство и приёмка работ по защите — по СП 72.13330 с пооперационными актами на скрытые слои.</w:t>
      </w:r>
    </w:p>
    <w:p>
      <w:pPr>
        <w:pStyle w:val="Heading1"/>
      </w:pPr>
      <w:r>
        <w:rPr>
          <w:b/>
          <w:sz w:val="28"/>
        </w:rPr>
        <w:t xml:space="preserve">6. Характеристики, уточняемые по техническим предложениям изготовителей</w:t>
      </w:r>
    </w:p>
    <w:p>
      <w:r>
        <w:rPr>
          <w:sz w:val="20"/>
        </w:rPr>
        <w:t xml:space="preserve">Позиции ведомости с записью «по ТКП изготовителя» уточняются в следующем порядке: опросный лист с обязательным перечнем запрашиваемых характеристик — техническое предложение изготовителя — строительное задание с окончательными нагрузками на узлы опирания — поверочный расчёт конструкций и фундаментов. Перечень характеристик, включаемых в опросные листы,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данных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Запрашиваемые характеристики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Массы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Масса пустого аппарата или машины, масса в рабочем состоянии, масса при гидроиспытании и при монтаже; масса наибольшей неразъёмной части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Геометрия опирания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и число опор, координаты опор относительно осей, тип опорного узла (лапы, юбка, рама), координаты центра тяжести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Разложение нагрузок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Распределение нагрузок по опорам с разложением по осям X, Y, Z для режимов: монтаж, гидроиспытание, нормальная работа, аварийная загрузка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Коэффициенты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Коэффициенты надёжности по нагрузке и коэффициенты динамичности, принятые изготовителем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Динамические данные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Частоты вращения и вынуждающих сил, неуравновешенные силы и моменты, класс балансировки роторов, допускаемые амплитуды колебаний опор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Требования к основанию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Требования к жёсткости основания, допускаемые осадки и их неравномерность, допускаемые уклоны и перекосы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Анкеровка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фундаментных болтов и закладных деталей, усилия затяжки, требования к подливке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Температурные условия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Тепловые перемещения опорных узлов, требования к подвижным опорам и компенсаторам</w:t>
            </w:r>
          </w:p>
        </w:tc>
      </w:tr>
    </w:tbl>
    <w:p>
      <w:r>
        <w:rPr>
          <w:sz w:val="20"/>
        </w:rPr>
        <w:t xml:space="preserve">До получения этих данных нагрузки настоящего документа используются как предварительные: конструктивные решения принимаются по верхней границе диапазонов, а в планах резервируются место установки, монтажные проёмы и предельная масса оборудования.</w:t>
      </w:r>
    </w:p>
    <w:p>
      <w:pPr>
        <w:pStyle w:val="Heading1"/>
      </w:pPr>
      <w:r>
        <w:rPr>
          <w:b/>
          <w:sz w:val="28"/>
        </w:rPr>
        <w:t xml:space="preserve">7. Форма представления нагрузок на планах</w:t>
      </w:r>
    </w:p>
    <w:p>
      <w:r>
        <w:rPr>
          <w:sz w:val="20"/>
        </w:rPr>
        <w:t xml:space="preserve">На планах строительных конструкций и фундаментов для каждого узла опирания оборудования приводится таблица нагрузок следующего состава. Форма единая для всех лотов выпуска; значения заполняются по ведомости настоящего документа и уточняются по мере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795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Графа</w:t>
            </w:r>
          </w:p>
        </w:tc>
        <w:tc>
          <w:tcPr>
            <w:tcW w:w="7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пост.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Постоянная вертикальная нагрузка — собственный вес оборудования, футеровки и опорных конструкций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длит.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Длительная вертикальная нагрузка от заполнения: материал, раствор, вода, пылевые отложения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кратк.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Кратковременная нагрузка: обслуживание, ремонтные операции, монтажные и испытательные режимы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F дин.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Динамическая составляющая: амплитуда и частота вынуждающей силы, допускаемая амплитуда колебаний опоры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M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Момент от эксцентриситетов конусов, патрубков и присоединяемых трубопроводов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H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Горизонтальные усилия: тормозные, температурные, ветровые и сейсмические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Привязка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Привязка узла к осям и отметкам, схема фундаментных болтов и закладных деталей</w:t>
            </w:r>
          </w:p>
        </w:tc>
      </w:tr>
    </w:tbl>
    <w:p>
      <w:r>
        <w:rPr>
          <w:sz w:val="20"/>
        </w:rPr>
        <w:t xml:space="preserve">Дополнительно на планах указываются: привязка оборудования к разбивочным осям и отметкам, габариты опорных конструкций, зоны обслуживания и монтажные проёмы, границы конструктивно самостоятельных блоков и деформационных швов.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изысканий, обследования либо технических предложений изготовителей. Каждая позиция закрывается до выдачи строительного задания.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Поверочный расчёт существующих конструкций существующего корпуса электрорафинирования (1971 г.) под новую раскладку опор ванн и модернизированные краны — по результатам обследования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Строительные задания поставщиков (ванны, катодосдирочная машина, краны): точечные нагрузки, коэффициенты надёжности и динамики — прил. В, п. 15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Карта проливов и высота защиты колонн/стен по зонам — разрабатывается в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Выбор конкретной системы покрытий — по испытаниям образцов в рабочем электролите (50 °С)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Мероприятия по блуждающим токам в арматуре подванной плиты (секционирование, контроль потенциалов) — совместно со строительным разделом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моста и тележки специальных кранов, масса станции сдирки катодосдирочной машины — по техническим предложениям поставщиков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Конструктив циркуляционных баков (стальные секции заводской поставки либо бетонные корпуса по месту) и, соответственно, масса пустого аппарата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ОВЭ75-БИ-Л3-НГ · Планы строительных конструкций и фундаментов с предварительными нагрузками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ОВЭ75-БИ-Л3-НГ · Планы строительных конструкций и фундаментов с предварительными нагрузками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