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Настоящий документ выпускается в составе документации Базового инжиниринга по Лоту №3 «Отделение электроэкстракции» и соответствует пункту состава Базового инжиниринга «комплект исходных требований на поставляемое оборудование длительного цикла изготовления» по ТЗ на БИ ред. 4.1 от 25.08.2026. Документ устанавливает перечень позиций длительного цикла изготовления в границах Лота №3, исходные требования к каждой позиции, состав и сроки выдачи данных изготовителя, необходимых для выпуска разделов Базового инжиниринга, а также порядок и график запроса технико-коммерческих предложений.</w:t>
      </w:r>
    </w:p>
    <w:p>
      <w:r>
        <w:rPr>
          <w:sz w:val="20"/>
        </w:rPr>
        <w:t xml:space="preserve">Документ предназначен для включения в запросы технико-коммерческих предложений и в техническую часть договоров поставки. Требования настоящего документа являются исходными для изготовителей: изготовитель разрабатывает конструкторскую документацию, выполняет расчёты и отвечает за соответствие изделия заявленным параметрам; отступления оформляются листом отклонений в составе предложения и подлежат согласованию с Заказчиком и разработчиком Базового инжиниринга.</w:t>
      </w:r>
    </w:p>
    <w:p>
      <w:r>
        <w:rPr>
          <w:sz w:val="20"/>
        </w:rPr>
        <w:t xml:space="preserve">Документ применяется совместно с другими документами выпуска по лоту: ОВЭ75-БИ-Л3-СО — спецификация оборудования с техническими характеристиками; ОВЭ75-БИ-Л3-ОЛ — опросные листы основного оборудования; ОВЭ75-БИ-Л3-МТ — требования к монтажу, включая веса самых тяжёлых частей; ОВЭ75-БИ-Л3-СТ — стоимостной блок: порядок сбора предложений и бюджетной оценки поставки; ОВЭ75-БИ-Л3-ПЗ — пояснительная записка (технологические решения, балансы и режимы).</w:t>
      </w:r>
    </w:p>
    <w:p>
      <w:r>
        <w:rPr>
          <w:sz w:val="20"/>
        </w:rPr>
        <w:t xml:space="preserve">Настоящая ревизия выпускается до получения технико-коммерческих предложений. Приведённые сроки изготовления являются ориентировочными оценками и не являются обязательством изготовителя; они уточняются по предложениям и закрепляются договором поставки. Значения, отсутствующие в исходных данных, обозначены как определяемые на стадии Базового инжиниринга либо уточняемые по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автоматизации, измерениям и импортозамещению).</w:t>
      </w:r>
    </w:p>
    <w:p>
      <w:r>
        <w:rPr>
          <w:sz w:val="20"/>
        </w:rPr>
        <w:t xml:space="preserve">— Исходные данные Заказчика: ИД ч.2 (табл. 4.2, п. 4.2.2, приложения Б и В); ТЗ на БИ ред. 4.1 от 25.08.2026 — границы проектирования Лота №3 (п. 6.2) и перечни включаемого и не включаемого в состав БИ оборудования (п. 6.3).</w:t>
      </w:r>
    </w:p>
    <w:p>
      <w:r>
        <w:rPr>
          <w:sz w:val="20"/>
        </w:rPr>
        <w:t xml:space="preserve">— База решений Базового инжиниринга по Лоту №3: перечень оборудования, компоновочные решения, нагрузки на конструкции и фундаменты, требования к монтажу, требования к испытаниям и приёмке, порядок формирования стоимости поставки.</w:t>
      </w:r>
    </w:p>
    <w:p>
      <w:r>
        <w:rPr>
          <w:sz w:val="20"/>
        </w:rPr>
        <w:t xml:space="preserve">— Расчётная модель КВАНТ: независимый пересчёт балансов, режимов и нагрузок.</w:t>
      </w:r>
    </w:p>
    <w:p>
      <w:r>
        <w:rPr>
          <w:sz w:val="20"/>
        </w:rPr>
        <w:t xml:space="preserve">— Проект этапности выдачи материалов Базового инжиниринга от 25.08.2026 (Этап 1 — предварительный отчёт, Этап 2 — итоговый отчёт); юридический статус этапности закрепляется договором.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длинноцикловому</w:t>
      </w:r>
    </w:p>
    <w:p>
      <w:r>
        <w:rPr>
          <w:sz w:val="20"/>
        </w:rPr>
        <w:t xml:space="preserve">К оборудованию длительного цикла изготовления отнесены позиции, отвечающие хотя бы одному из критериев:</w:t>
      </w:r>
    </w:p>
    <w:p>
      <w:r>
        <w:rPr>
          <w:sz w:val="20"/>
        </w:rPr>
        <w:t xml:space="preserve">— срок разработки конструкторской документации, изготовления и поставки превышает 6–8 месяцев и сопоставим с продолжительностью проектирования и строительства;</w:t>
      </w:r>
    </w:p>
    <w:p>
      <w:r>
        <w:rPr>
          <w:sz w:val="20"/>
        </w:rPr>
        <w:t xml:space="preserve">— изделие изготавливается по индивидуальной конструкторской документации под параметры настоящего проекта, а не поставляется из серийного каталога;</w:t>
      </w:r>
    </w:p>
    <w:p>
      <w:r>
        <w:rPr>
          <w:sz w:val="20"/>
        </w:rPr>
        <w:t xml:space="preserve">— изделие крупногабаритное или транспортно негабаритное, требует членения на поставочные блоки и укрупнительной сборки на площадке;</w:t>
      </w:r>
    </w:p>
    <w:p>
      <w:r>
        <w:rPr>
          <w:sz w:val="20"/>
        </w:rPr>
        <w:t xml:space="preserve">— изготовление лимитируется поставкой материалов ограниченного обращения, изготовлением оснастки либо длинной цепочкой комплектации покупными изделиями;</w:t>
      </w:r>
    </w:p>
    <w:p>
      <w:r>
        <w:rPr>
          <w:sz w:val="20"/>
        </w:rPr>
        <w:t xml:space="preserve">— изделие поставляется большими партиями, темп поставки которых определяет темп монтажа;</w:t>
      </w:r>
    </w:p>
    <w:p>
      <w:r>
        <w:rPr>
          <w:sz w:val="20"/>
        </w:rPr>
        <w:t xml:space="preserve">— данные изготовителя (габариты, массы, нагрузки, подключения) являются исходными для разделов Базового инжиниринга и смежных разделов и без них разделы не выпускаются.</w:t>
      </w:r>
    </w:p>
    <w:p>
      <w:r>
        <w:rPr>
          <w:sz w:val="20"/>
        </w:rPr>
        <w:t xml:space="preserve">Перечень оборудования лота проверен по указанным критериям с учётом статуса поставки (закуп серийного изделия, изготовление по документации, перепроектирование существующего решения). Результат проверки — 5 позиций основного перечня, приведённые в разделе 2. Позиции, по которым срок изготовления в исходных данных не задан и подлежит проверке по предложениям изготовителей, выделены отдельным подразделом.</w:t>
      </w:r>
    </w:p>
    <w:p>
      <w:pPr>
        <w:pStyle w:val="Heading2"/>
      </w:pPr>
      <w:r>
        <w:rPr>
          <w:b/>
          <w:sz w:val="24"/>
        </w:rPr>
        <w:t xml:space="preserve">1.4. Место позиций длительного цикла в графике проекта</w:t>
      </w:r>
    </w:p>
    <w:p>
      <w:r>
        <w:rPr>
          <w:sz w:val="20"/>
        </w:rPr>
        <w:t xml:space="preserve">Позиции длительного цикла изготовления определяют критический путь графика реализации: контроль изготовления и приёмка этих позиций выполняются на этапе закупки и поставки оборудования, следующем за Базовым инжинирингом, а срок их поставки ограничивает начало монтажа. По этой причине исходные требования на длинноцикловое оборудование выдаются в первой очереди поэтапной выдачи материалов Базового инжиниринга — до полного выпуска проекта, что позволяет Заказчику начать контрактацию этих позиций заранее.</w:t>
      </w:r>
    </w:p>
    <w:p>
      <w:r>
        <w:rPr>
          <w:color w:val="666666"/>
          <w:sz w:val="17"/>
        </w:rPr>
        <w:t xml:space="preserve">Источник: ТЗ на БИ ред. 4.1, раздел «Прочие условия» (поэтапная выдача материалов); проект этапности от 25.08.2026; перечень этапов реализации проекта</w:t>
      </w:r>
    </w:p>
    <w:p>
      <w:pPr>
        <w:pStyle w:val="Heading1"/>
      </w:pPr>
      <w:r>
        <w:rPr>
          <w:b/>
          <w:sz w:val="28"/>
        </w:rPr>
        <w:t xml:space="preserve">2. Перечень оборудования длительного цикла изготовления</w:t>
      </w:r>
    </w:p>
    <w:p>
      <w:pPr>
        <w:pStyle w:val="Heading2"/>
      </w:pPr>
      <w:r>
        <w:rPr>
          <w:b/>
          <w:sz w:val="24"/>
        </w:rPr>
        <w:t xml:space="preserve">2.1. Сводный перечень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1000"/>
        <w:gridCol w:w="2500"/>
        <w:gridCol w:w="2054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Обозн.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позиции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8"/>
              </w:rPr>
              <w:t xml:space="preserve">Определяющий фактор цикла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8"/>
              </w:rPr>
              <w:t xml:space="preserve">Ориентировочный цикл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ДЦ-1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Электролизные ванны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180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литейной оснастки и темп литья; поставка партиями под график монтажа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первая партия 6–9 мес; полная серия — по темпу изготовления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ДЦ-2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Роботизированная катодосдирочная машина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комплект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Комплектная машина с длинной цепочкой комплектации; заводские испытания полного цикла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12–16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ДЦ-3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Индивидуальное изготовление с системой автоматического позиционирования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ДЦ-4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Парк катодных матриц и анодов (первичная загрузка)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30 420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партиями десятков тысяч изделий; прокат ограниченного обращения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6–10 мес партиями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ДЦ-5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Система автоматизации отделения с милливольтовым контролем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комплект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Комплектная поставка с прикладным программным обеспечением; ограничение номенклатуры производства РФ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6–9 мес</w:t>
            </w:r>
          </w:p>
        </w:tc>
      </w:tr>
    </w:tbl>
    <w:p>
      <w:r>
        <w:rPr>
          <w:i/>
          <w:color w:val="555555"/>
          <w:sz w:val="18"/>
        </w:rPr>
        <w:t xml:space="preserve">Сроки в графе «Ориентировочный цикл» — оценка Исполнителя и типовые ориентиры для изделий данного класса; в исходных данных Заказчика сроки изготовления не заданы. Значения подлежат письменному подтверждению в технико-коммерческих предложениях и не являются обязательством изготовителя.</w:t>
      </w:r>
    </w:p>
    <w:p>
      <w:pPr>
        <w:pStyle w:val="Heading2"/>
      </w:pPr>
      <w:r>
        <w:rPr>
          <w:b/>
          <w:sz w:val="24"/>
        </w:rPr>
        <w:t xml:space="preserve">2.2. Позиции, цикл изготовления которых подлежит проверке по предложениям</w:t>
      </w:r>
    </w:p>
    <w:p>
      <w:r>
        <w:rPr>
          <w:sz w:val="20"/>
        </w:rPr>
        <w:t xml:space="preserve">Позиции ниже отнесены к основному перечню оборудования лота, но срок их изготовления исходными данными не определён. При подтверждении цикла свыше 6–8 месяцев позиция включается в перечень раздела 2.1 при следующей ревизии настоящего документа.</w:t>
      </w:r>
    </w:p>
    <w:p>
      <w:r>
        <w:rPr>
          <w:sz w:val="20"/>
        </w:rPr>
        <w:t xml:space="preserve">— ошиновка ванн с двойным контактом — комплект на 180 ванн и концевые шинные мосты серий; падение напряжения не более 0,06 В на ванну; сечение сборных шин задаётся поставщиком из допустимой плотности тока (ориентировочно 42–47 тыс. мм² при токе 42,45–47,04 кА); цикл изготовления определяется поставкой медного проката;</w:t>
      </w:r>
    </w:p>
    <w:p>
      <w:r>
        <w:rPr>
          <w:sz w:val="20"/>
        </w:rPr>
        <w:t xml:space="preserve">— аспирационные укрытия ванн — 180 комплектов (легкосъёмный колпак, интегрированный с бортовым отсосом) в коррозионностойком исполнении; поставка партиями синхронно с ваннами;</w:t>
      </w:r>
    </w:p>
    <w:p>
      <w:r>
        <w:rPr>
          <w:sz w:val="20"/>
        </w:rPr>
        <w:t xml:space="preserve">— циркуляционные баки 2 × 300 м³ — при заводском изготовлении поставляются секциями (масса пустого бака в стальном исполнении ориентировочно 25–40 т); исходными данными допускается изготовление корпусов из бетона по месту, что снимает позицию с критического пути поставки;</w:t>
      </w:r>
    </w:p>
    <w:p>
      <w:r>
        <w:rPr>
          <w:sz w:val="20"/>
        </w:rPr>
        <w:t xml:space="preserve">— узлы приготовления и дозирования реагентов (коллоидная добавка, серная и соляная кислота) — комплектные установки, цикл уточняется при запросе предложений.</w:t>
      </w:r>
    </w:p>
    <w:p>
      <w:pPr>
        <w:pStyle w:val="Heading2"/>
      </w:pPr>
      <w:r>
        <w:rPr>
          <w:b/>
          <w:sz w:val="24"/>
        </w:rPr>
        <w:t xml:space="preserve">2.3. Позиции вне границ лота, влияющие на график поставки</w:t>
      </w:r>
    </w:p>
    <w:p>
      <w:r>
        <w:rPr>
          <w:sz w:val="20"/>
        </w:rPr>
        <w:t xml:space="preserve">— выпрямительные агрегаты — 3 шт. (два рабочих и резервный с перекрёстной ошиновкой), ток 47,0 кА номинальный при 227 / 250 В. В состав Базового инжиниринга по Лоту №3 не входят, однако относятся к оборудованию длительного цикла изготовления и определяют срок вывода серий на ток. Базовый инжиниринг выдаёт по ним задание на стыке: параметры тока и напряжения, требования к стабилизации и пульсациям, интерфейс с системой автоматизации, нормы искажений на шинах 6(10) кВ, точки подключения у торца зала. Контрактация — Заказчиком в сроки, увязанные с графиком пуска;</w:t>
      </w:r>
    </w:p>
    <w:p>
      <w:r>
        <w:rPr>
          <w:sz w:val="20"/>
        </w:rPr>
        <w:t xml:space="preserve">— магистральные шины серий, напорный и сливной трубопроводы ванн, теплообменники электролита, циркуляционные насосы, система аспирации со скруббером, нутч-фильтр, базовые мостовые краны — поставляются вне границ лота; по каждой позиции Базовый инжиниринг выдаёт задание на стыке и фиксирует физическую границу в реестре границ.</w:t>
      </w:r>
    </w:p>
    <w:p>
      <w:pPr>
        <w:pStyle w:val="Heading1"/>
      </w:pPr>
      <w:r>
        <w:rPr>
          <w:b/>
          <w:sz w:val="28"/>
        </w:rPr>
        <w:t xml:space="preserve">3. Общие требования к позициям длительного цикла</w:t>
      </w:r>
    </w:p>
    <w:p>
      <w:pPr>
        <w:pStyle w:val="Heading2"/>
      </w:pPr>
      <w:r>
        <w:rPr>
          <w:b/>
          <w:sz w:val="24"/>
        </w:rPr>
        <w:t xml:space="preserve">3.1. Условия эксплуатации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Промышленная площадка АО «Кольская ГМК», г. Мончегорск Мурманской области; строительно-климатическая зона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358 дней/год, 8585 ч,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ТЗ, раздел Лота №3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наиболее холодных суток −40 °C; наиболее холодной пятидневки −34 °C (обеспеченность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Снеговая нагрузка / ветровое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3,2 кПа (V район) /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2.9.3–2.9.4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УХЛ3 для оборудования электролизного зала; среда химически активная (аэрозоли серной кислоты)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к позициям настоящего документа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Климатические исполнения и категории размещения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Упаковка, маркировка и транспортирование в районы Крайнего Севера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поставляемых изделий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технологическое. Требования монтажной технологичности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26.13330.2012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Фундаменты машин с динамическими нагрузками — исходные данные 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75.13330.2011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Технологическое оборудование и трубопроводы: производство и приёмка монтажных работ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461 от 26.11.2020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Подъёмные сооружения: такелажные операции, освидетельствование кранов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ПУЭ (изд. 7), разд. 7.10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Электролизные установки: изоляция ванн, разрывы трубопроводов, проходы обслуживания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5582-75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Коррозионно-стойкий прокат (отечественный аналог стали катодных матриц)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859-2014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Качество катодной меди М00к — предмет гарантийных испытаний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Производственное оборудование. Общие требования безопасности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3.3. Материалы и подтверждение материального исполнения</w:t>
      </w:r>
    </w:p>
    <w:p>
      <w:r>
        <w:rPr>
          <w:sz w:val="20"/>
        </w:rPr>
        <w:t xml:space="preserve">Материальное исполнение по исходным данным: корпуса электролизных ванн — монолитный полимербетон (винилэфирный композит); катодные матрицы — коррозионно-стойкая сталь типа 316L (отечественный аналог 03Х17Н14М3) с полипропиленовым обрамлением; аноды — холоднокатаный свинцовый сплав Pb–Ca (0,06–0,08 %)–Sn (1,35–1,5 %); ошиновка — медь; рабочие части и оснастка кранов — сталь 316L или аналог; аспирационные укрытия и трубопроводная обвязка — коррозионностойкое исполнение под кислые аэрозоли. Продукты коррозии контура ограничены качеством катодной меди, поэтому исполнение контактных частей подтверждается сертификатами на материалы и входным контролем.</w:t>
      </w:r>
    </w:p>
    <w:p>
      <w:pPr>
        <w:pStyle w:val="Heading2"/>
      </w:pPr>
      <w:r>
        <w:rPr>
          <w:b/>
          <w:sz w:val="24"/>
        </w:rPr>
        <w:t xml:space="preserve">3.4. Данные изготовителя, необходимые для выпуска Базового инжиниринга</w:t>
      </w:r>
    </w:p>
    <w:p>
      <w:r>
        <w:rPr>
          <w:sz w:val="20"/>
        </w:rPr>
        <w:t xml:space="preserve">Разделы Базового инжиниринга, содержащие нагрузки на строительные конструкции и фундаменты, требования к монтажу, сведения по электроснабжению и данные для смежных разделов, выпускаются на данных изготовителей. Ниже приведены состав этих данных, раздел-потребитель и предельный срок получения. Т0 — дата начала работ по Базовому инжинирингу; сроки увязаны с проектом этапности (Этап 1 — 3 месяца от начала работ, Этап 2 — 3 месяца после завершения Этапа 1) и являются предложением Исполнителя, закрепляемым договором и графиком выдачи.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3000"/>
        <w:gridCol w:w="2554"/>
      </w:tblGrid>
      <w:tr>
        <w:tc>
          <w:tcPr>
            <w:tcW w:w="380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изготовителя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Раздел — потребитель данных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выдачи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Чертёж общего вида с габаритными, присоединительными и установочными размерами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Компоновочные решения; технологические схемы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Масса изделия порожнего, в рабочем состоянии и при испытании; положение центра тяжести; схемы строповки; членение на транспортабельные и монтажные блоки с массами и габаритами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планы конструкций; логистика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Строительное задание: нагрузки на опоры и фундаменты (порожнее, рабочее и аварийное состояние, испытание) с разложением по осям и коэффициентами надёжности и динамичности; для машин — частоты вынуждающих сил, остаточный дисбаланс и класс балансировки ротора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Планы строительных конструкций и фундаментов; фундаменты машин с динамическими нагрузками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Потребление энергоресурсов: установленная и потребляемая мощность, напряжение, пусковые токи, категория надёжности; расходы воды, пара, сжатого воздуха и требования к их качеству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Электроснабжение; подключение к сетям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Тепловыделения от поверхностей оборудования и выделения вредностей в помещения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Данные для смежных разделов (отопление и вентиляция)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Перечень сигналов, объём телеметрии и карта регистров цифрового интерфейса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Автоматизация; схема комплекса технических средств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Срок разработки конструкторской документации, изготовления и поставки; график поставки партиями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Настоящий документ; график закупки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Требования к монтажу и шеф-монтажу, состав запасных частей и принадлежностей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стоимость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Трёхмерная геометрическая модель изделия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Цифровая информационная модель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+ 4,5 мес (по плану информационного моделирования)</w:t>
            </w:r>
          </w:p>
        </w:tc>
      </w:tr>
    </w:tbl>
    <w:p>
      <w:r>
        <w:rPr>
          <w:sz w:val="20"/>
        </w:rPr>
        <w:t xml:space="preserve">Данные, не полученные в указанные сроки, замещаются в соответствующих разделах предварительными оценками с прямым указанием на замещение; такие разделы подлежат переизданию после получения данных изготовителя.</w:t>
      </w:r>
    </w:p>
    <w:p>
      <w:r>
        <w:rPr>
          <w:color w:val="666666"/>
          <w:sz w:val="17"/>
        </w:rPr>
        <w:t xml:space="preserve">Источник: Проект этапности выдачи материалов БИ от 25.08.2026; разделы БИ «Планы конструкций и фундаментов», «Требования к монтажу», «Электроснабжение»</w:t>
      </w:r>
    </w:p>
    <w:p>
      <w:pPr>
        <w:pStyle w:val="Heading2"/>
      </w:pPr>
      <w:r>
        <w:rPr>
          <w:b/>
          <w:sz w:val="24"/>
        </w:rPr>
        <w:t xml:space="preserve">3.5. Документация изготовителя</w:t>
      </w:r>
    </w:p>
    <w:p>
      <w:r>
        <w:rPr>
          <w:sz w:val="20"/>
        </w:rPr>
        <w:t xml:space="preserve">В составе технической части предложения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 в объёме, подтверждающем заявленные параметры;</w:t>
      </w:r>
    </w:p>
    <w:p>
      <w:r>
        <w:rPr>
          <w:sz w:val="20"/>
        </w:rPr>
        <w:t xml:space="preserve">— паспорт изделия и документы оценки соответствия;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запасных частей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карту регистров цифрового интерфейса для приводов и агрегатов;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3.6.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изготовления;</w:t>
      </w:r>
    </w:p>
    <w:p>
      <w:r>
        <w:rPr>
          <w:sz w:val="20"/>
        </w:rPr>
        <w:t xml:space="preserve">— контроль сварных соединений: визуально-измерительный в объёме 100 % и неразрушающий в объёме, установленном конструкторской документацией и планом контроля; для элементов под давлением — в объёме федеральных норм и правил;</w:t>
      </w:r>
    </w:p>
    <w:p>
      <w:r>
        <w:rPr>
          <w:sz w:val="20"/>
        </w:rPr>
        <w:t xml:space="preserve">— контрольная сборка на заводе для изделий, поставляемых блоками, с проверкой геометрии и присоединительных размеров; протокол контрольной сборки входит в приёмочную документацию;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площадке;</w:t>
      </w:r>
    </w:p>
    <w:p>
      <w:r>
        <w:rPr>
          <w:sz w:val="20"/>
        </w:rPr>
        <w:t xml:space="preserve">— средства измерений в составе поставки — внесённые в Государственный реестр средств измерений Российской Федерации, с первичной поверкой.</w:t>
      </w:r>
    </w:p>
    <w:p>
      <w:pPr>
        <w:pStyle w:val="Heading2"/>
      </w:pPr>
      <w:r>
        <w:rPr>
          <w:b/>
          <w:sz w:val="24"/>
        </w:rPr>
        <w:t xml:space="preserve">3.7. Шеф-монтаж, пусконаладка и запасные части</w:t>
      </w:r>
    </w:p>
    <w:p>
      <w:r>
        <w:rPr>
          <w:sz w:val="20"/>
        </w:rPr>
        <w:t xml:space="preserve">— шеф-монтаж, шеф-наладка, участие в индивидуальных и комплексных испытаниях и обучение персонала Заказчика входят в объём поставки и указываются в предложении отдельными позициями с объёмом в нормо-часах и условиями пребывания специалистов;</w:t>
      </w:r>
    </w:p>
    <w:p>
      <w:r>
        <w:rPr>
          <w:sz w:val="20"/>
        </w:rPr>
        <w:t xml:space="preserve">— запасные части и принадлежности — на период пусконаладки и на два года эксплуатации; для средств автоматизации и измерений — не менее 10 % и не менее одной единицы каждого наименования;</w:t>
      </w:r>
    </w:p>
    <w:p>
      <w:r>
        <w:rPr>
          <w:sz w:val="20"/>
        </w:rPr>
        <w:t xml:space="preserve">— изготовитель участвует в гарантийных испытаниях и подтверждает заявленные показатели на установившемся режиме по согласованной программе;</w:t>
      </w:r>
    </w:p>
    <w:p>
      <w:r>
        <w:rPr>
          <w:sz w:val="20"/>
        </w:rPr>
        <w:t xml:space="preserve">— гарантийный срок, порядок устранения дефектов и условия действия гарантий (состав сырья, режимы, соблюдение регламента) фиксируются в договоре поставки.</w:t>
      </w:r>
    </w:p>
    <w:p>
      <w:pPr>
        <w:pStyle w:val="Heading2"/>
      </w:pPr>
      <w:r>
        <w:rPr>
          <w:b/>
          <w:sz w:val="24"/>
        </w:rPr>
        <w:t xml:space="preserve">3.8. Комплектность, консервация и транспортирование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приборы контроля, площадки и лестницы на корпусе, запасные части;</w:t>
      </w:r>
    </w:p>
    <w:p>
      <w:r>
        <w:rPr>
          <w:sz w:val="20"/>
        </w:rPr>
        <w:t xml:space="preserve">— членение на поставочные блоки принимается с учётом транспортных габаритов до площадки и такелажной схемы; негабаритные корпуса поставляются частями с укрупнительной сборкой на площадке; транспортная схема и потребность в согласовании перевозки негабаритных грузов указываются в предложении;</w:t>
      </w:r>
    </w:p>
    <w:p>
      <w:r>
        <w:rPr>
          <w:sz w:val="20"/>
        </w:rPr>
        <w:t xml:space="preserve">— упаковка, консервация и маркировка — для транспортирования и хранения в районах Крайнего Севера, на срок хранения не менее 12 месяцев, включая зимний период.</w:t>
      </w:r>
    </w:p>
    <w:p>
      <w:pPr>
        <w:pStyle w:val="Heading2"/>
      </w:pPr>
      <w:r>
        <w:rPr>
          <w:b/>
          <w:sz w:val="24"/>
        </w:rPr>
        <w:t xml:space="preserve">3.9. Импортозамещение и состав предложения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Российской Федерации (Приложение №5 к ТЗ); требование распространяется на приводную технику и средства измерений. Отступления — по согласованию с Заказчиком. По каждой позиции основного перечня запрашиваются бюджетные предложения не менее чем от двух-трёх изготовителей.</w:t>
      </w:r>
    </w:p>
    <w:p>
      <w:r>
        <w:rPr>
          <w:sz w:val="20"/>
        </w:rPr>
        <w:t xml:space="preserve">Состав технической части предложения:</w:t>
      </w:r>
    </w:p>
    <w:p>
      <w:r>
        <w:rPr>
          <w:sz w:val="20"/>
        </w:rPr>
        <w:t xml:space="preserve">— подтверждение параметров настоящего документа либо лист отклонений с обоснованием;</w:t>
      </w:r>
    </w:p>
    <w:p>
      <w:r>
        <w:rPr>
          <w:sz w:val="20"/>
        </w:rPr>
        <w:t xml:space="preserve">— чертёж общего вида, масса изделия и членение на поставочные блоки;</w:t>
      </w:r>
    </w:p>
    <w:p>
      <w:r>
        <w:rPr>
          <w:sz w:val="20"/>
        </w:rPr>
        <w:t xml:space="preserve">— материал контактных частей с указанием марки и нормативной документации поставки;</w:t>
      </w:r>
    </w:p>
    <w:p>
      <w:r>
        <w:rPr>
          <w:sz w:val="20"/>
        </w:rPr>
        <w:t xml:space="preserve">— срок разработки конструкторской документации, срок изготовления и срок поставки — письменно, с указанием условий, при которых срок действителен;</w:t>
      </w:r>
    </w:p>
    <w:p>
      <w:r>
        <w:rPr>
          <w:sz w:val="20"/>
        </w:rPr>
        <w:t xml:space="preserve">— референс-лист по изделиям, подтверждённый по продукту и среде, а не по классу оборудования;</w:t>
      </w:r>
    </w:p>
    <w:p>
      <w:r>
        <w:rPr>
          <w:sz w:val="20"/>
        </w:rPr>
        <w:t xml:space="preserve">— состав запасных частей и принадлежностей, объём шеф-монтажа, пусконаладки и обучения персонала;</w:t>
      </w:r>
    </w:p>
    <w:p>
      <w:r>
        <w:rPr>
          <w:sz w:val="20"/>
        </w:rPr>
        <w:t xml:space="preserve">— гарантийные показатели и условия их подтверждения при испытаниях;</w:t>
      </w:r>
    </w:p>
    <w:p>
      <w:r>
        <w:rPr>
          <w:sz w:val="20"/>
        </w:rPr>
        <w:t xml:space="preserve">— стоимость с разбивкой по блокам и услугам, условия и базис поставки, график платежей.</w:t>
      </w:r>
    </w:p>
    <w:p>
      <w:pPr>
        <w:pStyle w:val="Heading1"/>
      </w:pPr>
      <w:r>
        <w:rPr>
          <w:b/>
          <w:sz w:val="28"/>
        </w:rPr>
        <w:t xml:space="preserve">4. ДЦ-1. Электролизные ванны</w:t>
      </w:r>
    </w:p>
    <w:p>
      <w:pPr>
        <w:pStyle w:val="Heading2"/>
      </w:pPr>
      <w:r>
        <w:rPr>
          <w:b/>
          <w:sz w:val="24"/>
        </w:rPr>
        <w:t xml:space="preserve">4.1. Назначение и объём поставки</w:t>
      </w:r>
    </w:p>
    <w:p>
      <w:r>
        <w:rPr>
          <w:sz w:val="20"/>
        </w:rPr>
        <w:t xml:space="preserve">Электроэкстракция меди из растворов. Ванны выполняются монолитными полимербетонными корпусами и комплектуются элементами, обеспечивающими подачу электролита, установку электродов, позиционирование крана и выгрузку шлама. Это самая массовая позиция поставки: 180 корпусов общей массой 1566 т.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монолитный корпус ванны с переливным карманом;</w:t>
      </w:r>
    </w:p>
    <w:p>
      <w:r>
        <w:rPr>
          <w:sz w:val="20"/>
        </w:rPr>
        <w:t xml:space="preserve">— коллектор подачи электролита с креплениями;</w:t>
      </w:r>
    </w:p>
    <w:p>
      <w:r>
        <w:rPr>
          <w:sz w:val="20"/>
        </w:rPr>
        <w:t xml:space="preserve">— закладные элементы рельсового пути нутч-фильтра;</w:t>
      </w:r>
    </w:p>
    <w:p>
      <w:r>
        <w:rPr>
          <w:sz w:val="20"/>
        </w:rPr>
        <w:t xml:space="preserve">— донная пробка выгрузки шлама;</w:t>
      </w:r>
    </w:p>
    <w:p>
      <w:r>
        <w:rPr>
          <w:sz w:val="20"/>
        </w:rPr>
        <w:t xml:space="preserve">— установочные конусы позиционирования крана и антисейсмические упоры опор.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Количество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180 шт. (две серии по 90); расчётное количество 163 шт., коэффициент запаса 1,104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Внутренние габариты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8485 × 1155 × 1650 мм; наружные с учётом стенки 80 мм — 8645 × 1315 мм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Комплектация электродами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84 катодных места и 85 анодных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корпуса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8,7 т; суммарно по позиции 1566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в работе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41,0 т на ванну (корпус 8,7 + электролит 14,9 + аноды 5,5 + катоды с наращённым металлом 11,6 + шлам 0,25); при обслуживании с рамами до 51,4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Электрический режим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ток эксплуатационный 42,45 кА; плотность тока 252,7 А/м² при расчётной 280 А/м²; производительность 49,49 кг меди в час на ванну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Шаг установки в ряду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1,40 м (корпус 1,315 м и межванновый зазор 0,085 м под сборные шины и деформационные швы); длина ряда из 45 ванн — 62,9 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Допуск выверки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перепад отметок бортов смежных ванн ориентировочно ±2 мм — подтверждается инструкцией поставщика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ИД ч.2 прил.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Материальное исполнение</w:t>
      </w:r>
    </w:p>
    <w:p>
      <w:r>
        <w:rPr>
          <w:sz w:val="20"/>
        </w:rPr>
        <w:t xml:space="preserve">Монолитный полимербетон (винилэфирный композит). Конструкция подтверждается расчётом методом конечных элементов с представлением протокола; полимербетон чувствителен к сосредоточенным ударным нагрузкам, поэтому изготовитель задаёт штатные строповочные точки и схему подъёма траверсой.</w:t>
      </w:r>
    </w:p>
    <w:p>
      <w:pPr>
        <w:pStyle w:val="Heading2"/>
      </w:pPr>
      <w:r>
        <w:rPr>
          <w:b/>
          <w:sz w:val="24"/>
        </w:rPr>
        <w:t xml:space="preserve">4.4.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первая партия 6–9 мес; полная серия — по темпу изготовления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монолитных полимербетонных корпусов;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Цикл лимитируется изготовлением литейной оснастки (форм) и темпом литья; темп поставки должен опережать график монтажа рядов, поэтому в предложении требуется график поставки партиями в штуках в месяц.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строительное задание: точечные нагрузки на опорные тумбы (4–6 точек на ванну) с разложением по осям, коэффициентами надёжности и динамичности для порожнего, рабочего и аварийного состояний — Т0 + 4,0 мес;</w:t>
      </w:r>
    </w:p>
    <w:p>
      <w:r>
        <w:rPr>
          <w:sz w:val="20"/>
        </w:rPr>
        <w:t xml:space="preserve">— протокол расчёта методом конечных элементов и допустимые прогибы корпуса — Т0 + 4,0 мес;</w:t>
      </w:r>
    </w:p>
    <w:p>
      <w:r>
        <w:rPr>
          <w:sz w:val="20"/>
        </w:rPr>
        <w:t xml:space="preserve">— разбивочная схема ряда, допуски выверки по высоте и соосности, требования к электроизоляции опор — Т0 + 4,0 мес;</w:t>
      </w:r>
    </w:p>
    <w:p>
      <w:r>
        <w:rPr>
          <w:sz w:val="20"/>
        </w:rPr>
        <w:t xml:space="preserve">— масса, габарит транспортного места и схема строповки — Т0 + 3,5 мес;</w:t>
      </w:r>
    </w:p>
    <w:p>
      <w:r>
        <w:rPr>
          <w:sz w:val="20"/>
        </w:rPr>
        <w:t xml:space="preserve">— график поставки партиями в штуках в месяц, согласованный с темпом монтажа рядов, — в составе предложения (Т0 + 2,5 мес).</w:t>
      </w:r>
    </w:p>
    <w:p>
      <w:pPr>
        <w:pStyle w:val="Heading2"/>
      </w:pPr>
      <w:r>
        <w:rPr>
          <w:b/>
          <w:sz w:val="24"/>
        </w:rPr>
        <w:t xml:space="preserve">4.6. Контроль, приёмка и шеф-монтаж</w:t>
      </w:r>
    </w:p>
    <w:p>
      <w:r>
        <w:rPr>
          <w:sz w:val="20"/>
        </w:rPr>
        <w:t xml:space="preserve">— гидравлическое испытание каждой ванны водой у изготовителя и повторно по месту с контролем прогибов и герметичности;</w:t>
      </w:r>
    </w:p>
    <w:p>
      <w:r>
        <w:rPr>
          <w:sz w:val="20"/>
        </w:rPr>
        <w:t xml:space="preserve">— контроль геометрии посадочных мест электродов, переливных карманов и установочных конусов позиционирования;</w:t>
      </w:r>
    </w:p>
    <w:p>
      <w:r>
        <w:rPr>
          <w:sz w:val="20"/>
        </w:rPr>
        <w:t xml:space="preserve">— контроль сопротивления изоляции ванн и серии до заливки электролита;</w:t>
      </w:r>
    </w:p>
    <w:p>
      <w:r>
        <w:rPr>
          <w:sz w:val="20"/>
        </w:rPr>
        <w:t xml:space="preserve">— упаковка и транспортирование по требованиям для районов Крайнего Севера; контроль сохранности корпусов при перегрузках;</w:t>
      </w:r>
    </w:p>
    <w:p>
      <w:r>
        <w:rPr>
          <w:sz w:val="20"/>
        </w:rPr>
        <w:t xml:space="preserve">— шеф-монтаж и пусконаладка поставщика в объёме поставки.</w:t>
      </w:r>
    </w:p>
    <w:p>
      <w:r>
        <w:rPr>
          <w:color w:val="666666"/>
          <w:sz w:val="17"/>
        </w:rPr>
        <w:t xml:space="preserve">Источник: ИД ч.2 табл. 4.2, прил. В; разделы БИ «Компоновка», «Нагрузки на перекрытия и фундаменты», «Требования к монтажу»</w:t>
      </w:r>
    </w:p>
    <w:p>
      <w:pPr>
        <w:pStyle w:val="Heading1"/>
      </w:pPr>
      <w:r>
        <w:rPr>
          <w:b/>
          <w:sz w:val="28"/>
        </w:rPr>
        <w:t xml:space="preserve">5. ДЦ-2. Роботизированная катодосдирочная машина</w:t>
      </w:r>
    </w:p>
    <w:p>
      <w:pPr>
        <w:pStyle w:val="Heading2"/>
      </w:pPr>
      <w:r>
        <w:rPr>
          <w:b/>
          <w:sz w:val="24"/>
        </w:rPr>
        <w:t xml:space="preserve">5.1. Назначение и объём поставки</w:t>
      </w:r>
    </w:p>
    <w:p>
      <w:r>
        <w:rPr>
          <w:sz w:val="20"/>
        </w:rPr>
        <w:t xml:space="preserve">Полный цикл обработки катодов: промывка, отделение осадка от матриц, оптический контроль и разбраковка, формирование и увязка пакетов, автоматический пробоотбор и передача пакетов на склад готовой продукции. Позиция определяет компоновку торца зала и является, наряду с ваннами, критическим путём поставки по лоту.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катодосдирочная машина с роботами подачи и выгрузки;</w:t>
      </w:r>
    </w:p>
    <w:p>
      <w:r>
        <w:rPr>
          <w:sz w:val="20"/>
        </w:rPr>
        <w:t xml:space="preserve">— оборудование формирования пакетов: весовой контроль, маркировка, увязка, профилирование листов пакета;</w:t>
      </w:r>
    </w:p>
    <w:p>
      <w:r>
        <w:rPr>
          <w:sz w:val="20"/>
        </w:rPr>
        <w:t xml:space="preserve">— оборудование автоматической изоляции кромок матриц (расход полипропиленового профиля 2770 кг/год);</w:t>
      </w:r>
    </w:p>
    <w:p>
      <w:r>
        <w:rPr>
          <w:sz w:val="20"/>
        </w:rPr>
        <w:t xml:space="preserve">— автоматизированная конвейерная линия транспортировки пакетов до передаточных ворот склада;</w:t>
      </w:r>
    </w:p>
    <w:p>
      <w:r>
        <w:rPr>
          <w:sz w:val="20"/>
        </w:rPr>
        <w:t xml:space="preserve">— система управления машиной с интерфейсом к системе автоматизации отделения.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принято 120 матриц/ч (расчётная потребность 105 матриц/ч)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Точность позиционирования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1 мм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Установленная и потребляемая мощность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125 кВт / 105 кВт; 380 В, 50 Гц, цепи управления 220 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Гидравлика и пневматика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гидростанция 120 бар; сжатый воздух 6 бар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Охлаждающая 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25 л/мин при температуре не выше 30 °C и давлении 1,5 бар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Промывка катодов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первая ступень 25 м³/ч при 60–80 °C (оборотный раствор); вторая ступень 4 м³/ч при 90–115 °C (свежая вода)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пакета катодов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2500 ± 50 кг (референсное значение 1400–2000 кг приводится к требованию сбыта); увязка тремя коррозионностойкими лентами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требование сбыта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Обслуживание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 человек в смену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5.3. Материальное исполнение</w:t>
      </w:r>
    </w:p>
    <w:p>
      <w:r>
        <w:rPr>
          <w:sz w:val="20"/>
        </w:rPr>
        <w:t xml:space="preserve">Конструкционная и коррозионно-стойкая сталь, поливинилхлорид, полипропилен — исполнение под кислые аэрозоли и промывные растворы. Рабочие части, контактирующие с электролитом и промывными растворами, — коррозионностойкие.</w:t>
      </w:r>
    </w:p>
    <w:p>
      <w:pPr>
        <w:pStyle w:val="Heading2"/>
      </w:pPr>
      <w:r>
        <w:rPr>
          <w:b/>
          <w:sz w:val="24"/>
        </w:rPr>
        <w:t xml:space="preserve">5.4.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12–16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комплектных машин с промышленными роботами;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Комплектная машина с длинной цепочкой комплектации (роботы, гидравлика, системы технического зрения, весовое оборудование); требуются разработка под технологию отделения и заводские испытания полного цикла.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Подтверждённых изготовителей под заданные параметры при проработке рынка не выявлено; поиск кандидатов ведётся отдельной процедурой.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планировка узла с габаритами, зонами обслуживания и длиной технологической зоны — в составе предложения (Т0 + 2,5 мес): определяет длину торцевой зоны зала (предварительно 30–35 м);</w:t>
      </w:r>
    </w:p>
    <w:p>
      <w:r>
        <w:rPr>
          <w:sz w:val="20"/>
        </w:rPr>
        <w:t xml:space="preserve">— нагрузки на перекрытие и фундаменты, массы монтажных блоков — Т0 + 3,5 мес;</w:t>
      </w:r>
    </w:p>
    <w:p>
      <w:r>
        <w:rPr>
          <w:sz w:val="20"/>
        </w:rPr>
        <w:t xml:space="preserve">— расходы воды, пара, сжатого воздуха, электроэнергии и требования к качеству сред — Т0 + 3,5 мес;</w:t>
      </w:r>
    </w:p>
    <w:p>
      <w:r>
        <w:rPr>
          <w:sz w:val="20"/>
        </w:rPr>
        <w:t xml:space="preserve">— перечень сигналов и протоколы обмена с системой автоматизации отделения и со складом готовой продукции — Т0 + 4,0 мес;</w:t>
      </w:r>
    </w:p>
    <w:p>
      <w:r>
        <w:rPr>
          <w:sz w:val="20"/>
        </w:rPr>
        <w:t xml:space="preserve">— требования к катодным матрицам (геометрия, плоскостность, обрамление) для подтверждения совместимости с позицией ДЦ-4 — Т0 + 3,5 мес.</w:t>
      </w:r>
    </w:p>
    <w:p>
      <w:pPr>
        <w:pStyle w:val="Heading2"/>
      </w:pPr>
      <w:r>
        <w:rPr>
          <w:b/>
          <w:sz w:val="24"/>
        </w:rPr>
        <w:t xml:space="preserve">5.6. Контроль, приёмка и шеф-монтаж</w:t>
      </w:r>
    </w:p>
    <w:p>
      <w:r>
        <w:rPr>
          <w:sz w:val="20"/>
        </w:rPr>
        <w:t xml:space="preserve">— заводские испытания с прогоном полного цикла на матрицах без осадка, подтверждение производительности 120 матриц/ч и точности позиционирования;</w:t>
      </w:r>
    </w:p>
    <w:p>
      <w:r>
        <w:rPr>
          <w:sz w:val="20"/>
        </w:rPr>
        <w:t xml:space="preserve">— подтверждение обязательного требования: разделение двух пластин без сращивания по нижней кромке; профилирование листов пакета;</w:t>
      </w:r>
    </w:p>
    <w:p>
      <w:r>
        <w:rPr>
          <w:sz w:val="20"/>
        </w:rPr>
        <w:t xml:space="preserve">— проверка формирования пакетов заданной массы, маркировки, увязки и работы автоматического пробоотбора;</w:t>
      </w:r>
    </w:p>
    <w:p>
      <w:r>
        <w:rPr>
          <w:sz w:val="20"/>
        </w:rPr>
        <w:t xml:space="preserve">— комплексная холодная обкатка на площадке совместно с кранами по сценарию выгрузки;</w:t>
      </w:r>
    </w:p>
    <w:p>
      <w:r>
        <w:rPr>
          <w:sz w:val="20"/>
        </w:rPr>
        <w:t xml:space="preserve">— шеф-монтаж и пусконаладка в объёме поставки; запасные части на два года.</w:t>
      </w:r>
    </w:p>
    <w:p>
      <w:r>
        <w:rPr>
          <w:color w:val="666666"/>
          <w:sz w:val="17"/>
        </w:rPr>
        <w:t xml:space="preserve">Источник: ИД ч.2 табл. 4.2; разделы БИ «Перечень оборудования», «Компоновка», «Испытания и приёмка»</w:t>
      </w:r>
    </w:p>
    <w:p>
      <w:pPr>
        <w:pStyle w:val="Heading1"/>
      </w:pPr>
      <w:r>
        <w:rPr>
          <w:b/>
          <w:sz w:val="28"/>
        </w:rPr>
        <w:t xml:space="preserve">6. ДЦ-3. Специальные автоматические краны с системой позиционирования</w:t>
      </w:r>
    </w:p>
    <w:p>
      <w:pPr>
        <w:pStyle w:val="Heading2"/>
      </w:pPr>
      <w:r>
        <w:rPr>
          <w:b/>
          <w:sz w:val="24"/>
        </w:rPr>
        <w:t xml:space="preserve">6.1. Назначение и объём поставки</w:t>
      </w:r>
    </w:p>
    <w:p>
      <w:r>
        <w:rPr>
          <w:sz w:val="20"/>
        </w:rPr>
        <w:t xml:space="preserve">Съём и установка колпаков укрытий, выгрузка катодов группами по трети ванны, транспортировка комплектов в катодосдирочную машину и обратно, пошаговая установка матриц. В ручном режиме выполняются замена анодов и чистка ванн от шлама. По одному крану на серию (пролёт).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мост с тележкой, механизмы подъёма и передвижения;</w:t>
      </w:r>
    </w:p>
    <w:p>
      <w:r>
        <w:rPr>
          <w:sz w:val="20"/>
        </w:rPr>
        <w:t xml:space="preserve">— траверса-борона с поддоном для сбора проливов;</w:t>
      </w:r>
    </w:p>
    <w:p>
      <w:r>
        <w:rPr>
          <w:sz w:val="20"/>
        </w:rPr>
        <w:t xml:space="preserve">— система автоматического позиционирования по установочным конусам ванн;</w:t>
      </w:r>
    </w:p>
    <w:p>
      <w:r>
        <w:rPr>
          <w:sz w:val="20"/>
        </w:rPr>
        <w:t xml:space="preserve">— система инфракрасного контроля контактов и коротких замыканий в ваннах;</w:t>
      </w:r>
    </w:p>
    <w:p>
      <w:r>
        <w:rPr>
          <w:sz w:val="20"/>
        </w:rPr>
        <w:t xml:space="preserve">— интерфейс с системой автоматизации отделения (очередь выгрузки, план-задание).</w:t>
      </w:r>
    </w:p>
    <w:p>
      <w:pPr>
        <w:pStyle w:val="Heading2"/>
      </w:pPr>
      <w:r>
        <w:rPr>
          <w:b/>
          <w:sz w:val="24"/>
        </w:rPr>
        <w:t xml:space="preserve">6.2.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Грузоподъёмность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ориентировочно 16–20 т: комплект 84 матриц с осадком 11,6 т и траверса с поддоном 3–5 т — уточняется поставщиком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Группа режима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легче А6/М7 (около 28 обслуживаний ванн в сутки на отделение)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п. 4.2.2;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Количество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шт. — по одному на серию (пролёт)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Точность установки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позиционирование по установочным конусам ванн; геометрия конусов — по шаблону поставщика кранов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Существующее крановое хозяйство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базовые мостовые краны существующего корпуса подлежат модернизации; специальное оснащение и автоматика входят в поставку по лоту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5.3; ИД ч.2 п. 4.2.2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6.3. Материальное исполнение</w:t>
      </w:r>
    </w:p>
    <w:p>
      <w:r>
        <w:rPr>
          <w:sz w:val="20"/>
        </w:rPr>
        <w:t xml:space="preserve">Металлические элементы и оснастка, контактирующие с электролитом и аэрозолями, — сталь 316L или аналог; лакокрасочные покрытия и электрооборудование — исполнение для химически активной среды электролизного зала.</w:t>
      </w:r>
    </w:p>
    <w:p>
      <w:pPr>
        <w:pStyle w:val="Heading2"/>
      </w:pPr>
      <w:r>
        <w:rPr>
          <w:b/>
          <w:sz w:val="24"/>
        </w:rPr>
        <w:t xml:space="preserve">6.4.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кранов индивидуального изготовления с автоматикой;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Индивидуальное изготовление под технологию зала: система автоматического позиционирования, коррозионностойкое исполнение оснастки, комплектация системой контроля контактов и коротких замыканий.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Подтверждённых изготовителей под заданные параметры при проработке рынка не выявлено; поиск кандидатов ведётся отдельной процедурой.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массы моста и тележки, нагрузки на подкрановые пути и колонны, коэффициенты динамичности по группе режима — Т0 + 4,0 мес: исходные данные для поверочного расчёта существующих конструкций;</w:t>
      </w:r>
    </w:p>
    <w:p>
      <w:r>
        <w:rPr>
          <w:sz w:val="20"/>
        </w:rPr>
        <w:t xml:space="preserve">— масса и положение центра тяжести траверсы-бороны с поддоном — Т0 + 3,5 мес;</w:t>
      </w:r>
    </w:p>
    <w:p>
      <w:r>
        <w:rPr>
          <w:sz w:val="20"/>
        </w:rPr>
        <w:t xml:space="preserve">— габарит крана по высоте и требуемая отметка подкрановых путей — в составе предложения (Т0 + 2,5 мес);</w:t>
      </w:r>
    </w:p>
    <w:p>
      <w:r>
        <w:rPr>
          <w:sz w:val="20"/>
        </w:rPr>
        <w:t xml:space="preserve">— шаблон геометрии установочных конусов и допуски выверки — Т0 + 4,0 мес;</w:t>
      </w:r>
    </w:p>
    <w:p>
      <w:r>
        <w:rPr>
          <w:sz w:val="20"/>
        </w:rPr>
        <w:t xml:space="preserve">— перечень сигналов, протокол обмена и алгоритм формирования очереди выгрузки — Т0 + 4,0 мес.</w:t>
      </w:r>
    </w:p>
    <w:p>
      <w:pPr>
        <w:pStyle w:val="Heading2"/>
      </w:pPr>
      <w:r>
        <w:rPr>
          <w:b/>
          <w:sz w:val="24"/>
        </w:rPr>
        <w:t xml:space="preserve">6.6. Контроль, приёмка и шеф-монтаж</w:t>
      </w:r>
    </w:p>
    <w:p>
      <w:r>
        <w:rPr>
          <w:sz w:val="20"/>
        </w:rPr>
        <w:t xml:space="preserve">— полное техническое освидетельствование: статические испытания грузом 125 % грузоподъёмности, динамические — 110 %;</w:t>
      </w:r>
    </w:p>
    <w:p>
      <w:r>
        <w:rPr>
          <w:sz w:val="20"/>
        </w:rPr>
        <w:t xml:space="preserve">— наладка системы автоматического позиционирования на установочных конусах ванн;</w:t>
      </w:r>
    </w:p>
    <w:p>
      <w:r>
        <w:rPr>
          <w:sz w:val="20"/>
        </w:rPr>
        <w:t xml:space="preserve">— проверка системы инфракрасного контроля контактов и коротких замыканий;</w:t>
      </w:r>
    </w:p>
    <w:p>
      <w:r>
        <w:rPr>
          <w:sz w:val="20"/>
        </w:rPr>
        <w:t xml:space="preserve">— комплексная холодная обкатка сценария выгрузки совместно с катодосдирочной машиной и системой автоматизации;</w:t>
      </w:r>
    </w:p>
    <w:p>
      <w:r>
        <w:rPr>
          <w:sz w:val="20"/>
        </w:rPr>
        <w:t xml:space="preserve">— шеф-монтаж и пусконаладка в объёме поставки.</w:t>
      </w:r>
    </w:p>
    <w:p>
      <w:r>
        <w:rPr>
          <w:color w:val="666666"/>
          <w:sz w:val="17"/>
        </w:rPr>
        <w:t xml:space="preserve">Источник: ИД ч.2 табл. 4.2, п. 4.2.2, прил. В; разделы БИ «Нагрузки», «Испытания и приёмка»</w:t>
      </w:r>
    </w:p>
    <w:p>
      <w:pPr>
        <w:pStyle w:val="Heading1"/>
      </w:pPr>
      <w:r>
        <w:rPr>
          <w:b/>
          <w:sz w:val="28"/>
        </w:rPr>
        <w:t xml:space="preserve">7. ДЦ-4. Парк катодных матриц и анодов (первичная загрузка)</w:t>
      </w:r>
    </w:p>
    <w:p>
      <w:pPr>
        <w:pStyle w:val="Heading2"/>
      </w:pPr>
      <w:r>
        <w:rPr>
          <w:b/>
          <w:sz w:val="24"/>
        </w:rPr>
        <w:t xml:space="preserve">7.1. Назначение и объём поставки</w:t>
      </w:r>
    </w:p>
    <w:p>
      <w:r>
        <w:rPr>
          <w:sz w:val="20"/>
        </w:rPr>
        <w:t xml:space="preserve">Первичная загрузка электродов двух серий электролиза: катодные матрицы для наращивания катодной меди и аноды из свинцового сплава. Поставка ведётся партиями к графику заполнения серий; электроды вместе с ваннами составляют основную массу грузов, доставляемых на площадку.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катодные матрицы с полипропиленовым обрамлением кромок и маркировкой для электронного реестра парка;</w:t>
      </w:r>
    </w:p>
    <w:p>
      <w:r>
        <w:rPr>
          <w:sz w:val="20"/>
        </w:rPr>
        <w:t xml:space="preserve">— аноды из свинцового сплава холодной прокатки с токоподводящими элементами;</w:t>
      </w:r>
    </w:p>
    <w:p>
      <w:r>
        <w:rPr>
          <w:sz w:val="20"/>
        </w:rPr>
        <w:t xml:space="preserve">— комплект оснастки и тары для транспортирования и хранения;</w:t>
      </w:r>
    </w:p>
    <w:p>
      <w:r>
        <w:rPr>
          <w:sz w:val="20"/>
        </w:rPr>
        <w:t xml:space="preserve">— программа формирования анодной оксидной плёнки на этапе пусконаладки.</w:t>
      </w:r>
    </w:p>
    <w:p>
      <w:pPr>
        <w:pStyle w:val="Heading2"/>
      </w:pPr>
      <w:r>
        <w:rPr>
          <w:b/>
          <w:sz w:val="24"/>
        </w:rPr>
        <w:t xml:space="preserve">7.2.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Катодные матрицы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15 120 шт. (180 × 84); размер 1000 × 1000 × 3,25 мм; масса 50–55 кг; суммарно 756–832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8.5;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Аноды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15 300 шт. (180 × 85); размер 940 × 952 × 6 мм; масса 65 кг; суммарно ≈995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Годовой расход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аноды 2300 шт./год (0,033 шт. на тонну меди); матрицы 1150 шт./год (0,017 шт. на тонну меди)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катодного осадка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76,8 кг за 6 суток / 89,7 кг за 7 суток без массы матрицы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Суммарная масса поставки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ванны, аноды и матрицы — 3,3–3,4 тыс. т грузов до площадки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Обязательное требование к матрицам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разделение двух пластин без сращивания по нижней кромке; ремонтопригодность обрамления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требование сбыта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7.3. Материальное исполнение</w:t>
      </w:r>
    </w:p>
    <w:p>
      <w:r>
        <w:rPr>
          <w:sz w:val="20"/>
        </w:rPr>
        <w:t xml:space="preserve">Матрицы — коррозионно-стойкая сталь типа 316L (отечественный аналог 03Х17Н14М3) с полипропиленовым обрамлением кромок; аноды — холоднокатаный свинцовый сплав Pb–Ca (0,06–0,08 %)–Sn (1,35–1,5 %). Химический состав и механические свойства подтверждаются сертификатами и входным контролем.</w:t>
      </w:r>
    </w:p>
    <w:p>
      <w:pPr>
        <w:pStyle w:val="Heading2"/>
      </w:pPr>
      <w:r>
        <w:rPr>
          <w:b/>
          <w:sz w:val="24"/>
        </w:rPr>
        <w:t xml:space="preserve">7.4.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6–10 мес партиями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изготовления партиями;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Объём партии — десятки тысяч изделий; цикл определяется поставкой проката и темпом сборки партиями, увязанным с графиком заполнения серий; для матриц дополнительно требуется подтверждение совместимости с выбранной катодосдирочной машиной.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программа формирования анодной оксидной плёнки (ток, продолжительность, состав раствора) — Т0 + 4,0 мес: входит в программу пусконаладки;</w:t>
      </w:r>
    </w:p>
    <w:p>
      <w:r>
        <w:rPr>
          <w:sz w:val="20"/>
        </w:rPr>
        <w:t xml:space="preserve">— гарантии по скорости коррозии анодов и выходу свинцового шлама, срок службы — в составе предложения (Т0 + 2,5 мес);</w:t>
      </w:r>
    </w:p>
    <w:p>
      <w:r>
        <w:rPr>
          <w:sz w:val="20"/>
        </w:rPr>
        <w:t xml:space="preserve">— подтверждение совместимости матриц с выбранной катодосдирочной машиной (геометрия, плоскостность, обрамление) — Т0 + 3,5 мес;</w:t>
      </w:r>
    </w:p>
    <w:p>
      <w:r>
        <w:rPr>
          <w:sz w:val="20"/>
        </w:rPr>
        <w:t xml:space="preserve">— система маркировки и идентификации для электронного реестра парка матриц — Т0 + 4,0 мес;</w:t>
      </w:r>
    </w:p>
    <w:p>
      <w:r>
        <w:rPr>
          <w:sz w:val="20"/>
        </w:rPr>
        <w:t xml:space="preserve">— график поставки партиями и требования к условиям хранения на площадке — Т0 + 3,5 мес.</w:t>
      </w:r>
    </w:p>
    <w:p>
      <w:pPr>
        <w:pStyle w:val="Heading2"/>
      </w:pPr>
      <w:r>
        <w:rPr>
          <w:b/>
          <w:sz w:val="24"/>
        </w:rPr>
        <w:t xml:space="preserve">7.6. Контроль, приёмка и шеф-монтаж</w:t>
      </w:r>
    </w:p>
    <w:p>
      <w:r>
        <w:rPr>
          <w:sz w:val="20"/>
        </w:rPr>
        <w:t xml:space="preserve">— входной контроль химического состава и геометрии; контроль плоскостности и качества кромок;</w:t>
      </w:r>
    </w:p>
    <w:p>
      <w:r>
        <w:rPr>
          <w:sz w:val="20"/>
        </w:rPr>
        <w:t xml:space="preserve">— приёмка партиями с оформлением протоколов и ведением электронного реестра парка матриц;</w:t>
      </w:r>
    </w:p>
    <w:p>
      <w:r>
        <w:rPr>
          <w:sz w:val="20"/>
        </w:rPr>
        <w:t xml:space="preserve">— упаковка и транспортирование по требованиям для районов Крайнего Севера;</w:t>
      </w:r>
    </w:p>
    <w:p>
      <w:r>
        <w:rPr>
          <w:sz w:val="20"/>
        </w:rPr>
        <w:t xml:space="preserve">— подтверждение поведения электродов в первых циклах наращивания при пусконаладке (качество поверхности катодов, разделение пластин);</w:t>
      </w:r>
    </w:p>
    <w:p>
      <w:r>
        <w:rPr>
          <w:sz w:val="20"/>
        </w:rPr>
        <w:t xml:space="preserve">— участие поставщика анодов в программе формирования оксидной плёнки.</w:t>
      </w:r>
    </w:p>
    <w:p>
      <w:r>
        <w:rPr>
          <w:color w:val="666666"/>
          <w:sz w:val="17"/>
        </w:rPr>
        <w:t xml:space="preserve">Источник: ИД ч.2 табл. 4.2, 8.5, прил. В; разделы БИ «Спецификация оборудования», «Испытания и приёмка»</w:t>
      </w:r>
    </w:p>
    <w:p>
      <w:pPr>
        <w:pStyle w:val="Heading1"/>
      </w:pPr>
      <w:r>
        <w:rPr>
          <w:b/>
          <w:sz w:val="28"/>
        </w:rPr>
        <w:t xml:space="preserve">8. ДЦ-5. Система автоматизации отделения с милливольтовым контролем</w:t>
      </w:r>
    </w:p>
    <w:p>
      <w:pPr>
        <w:pStyle w:val="Heading2"/>
      </w:pPr>
      <w:r>
        <w:rPr>
          <w:b/>
          <w:sz w:val="24"/>
        </w:rPr>
        <w:t xml:space="preserve">8.1. Назначение и объём поставки</w:t>
      </w:r>
    </w:p>
    <w:p>
      <w:r>
        <w:rPr>
          <w:sz w:val="20"/>
        </w:rPr>
        <w:t xml:space="preserve">Управление отделением электроэкстракции, контроль напряжения по каждой ванне для выявления коротких замыканий и обрывов контактов, учёт по ампер-часам и весовой контроль пакетов. Система является измерительной базой гарантийных испытаний.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комплекс технических средств: контроллеры, шкафы, серверное и операторское оборудование, источники бесперебойного питания;</w:t>
      </w:r>
    </w:p>
    <w:p>
      <w:r>
        <w:rPr>
          <w:sz w:val="20"/>
        </w:rPr>
        <w:t xml:space="preserve">— система милливольтового контроля напряжения ванн с датчиками и линиями связи;</w:t>
      </w:r>
    </w:p>
    <w:p>
      <w:r>
        <w:rPr>
          <w:sz w:val="20"/>
        </w:rPr>
        <w:t xml:space="preserve">— интеграторы ампер-часов и приборы учёта электроэнергии;</w:t>
      </w:r>
    </w:p>
    <w:p>
      <w:r>
        <w:rPr>
          <w:sz w:val="20"/>
        </w:rPr>
        <w:t xml:space="preserve">— прикладное программное обеспечение (нагрузки, шунтирование, потоки, параметры процесса);</w:t>
      </w:r>
    </w:p>
    <w:p>
      <w:r>
        <w:rPr>
          <w:sz w:val="20"/>
        </w:rPr>
        <w:t xml:space="preserve">— интерфейсы к оборудованию поставки: краны, катодосдирочная машина, выпрямители.</w:t>
      </w:r>
    </w:p>
    <w:p>
      <w:pPr>
        <w:pStyle w:val="Heading2"/>
      </w:pPr>
      <w:r>
        <w:rPr>
          <w:b/>
          <w:sz w:val="24"/>
        </w:rPr>
        <w:t xml:space="preserve">8.2.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Контроль ванн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измерение напряжения по каждой из 180 ванн; выявление коротких замыканий и обрывов контактов на малом токе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п. 4.2.2; 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Категория электроснабжения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I «особая» — источники бесперебойного питания двойного преобразования не менее 10 мин с байпасом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Импортозамещение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контроллеры, программное обеспечение и средства измерений — производства Российской Федерации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Запасные части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менее 10 % и не менее одной единицы каждого наименования на два года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Измерительная база гарантий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весовой контроль пакетов и интеграторы ампер-часов — для подтверждения выхода по току и удельного расхода электроэнергии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(программа гарантийных испытаний)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8.3. Материальное исполнение</w:t>
      </w:r>
    </w:p>
    <w:p>
      <w:r>
        <w:rPr>
          <w:sz w:val="20"/>
        </w:rPr>
        <w:t xml:space="preserve">Шкафное исполнение для химически активной среды: степень защиты и климатическое исполнение — по условиям помещений; кабельные трассы систем автоматизации прокладываются отдельно от силовых. Средства измерений — внесённые в Государственный реестр средств измерений с первичной поверкой.</w:t>
      </w:r>
    </w:p>
    <w:p>
      <w:pPr>
        <w:pStyle w:val="Heading2"/>
      </w:pPr>
      <w:r>
        <w:rPr>
          <w:b/>
          <w:sz w:val="24"/>
        </w:rPr>
        <w:t xml:space="preserve">8.4.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6–9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с учётом доступности контроллеров и средств измерений российского производства;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Комплектная поставка технических средств с прикладным программным обеспечением; ограничение номенклатуры требованием производства Российской Федерации и необходимость внесения средств измерений в Государственный реестр средств измерений.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структура комплекса технических средств и перечень сигналов — Т0 + 4,0 мес;</w:t>
      </w:r>
    </w:p>
    <w:p>
      <w:r>
        <w:rPr>
          <w:sz w:val="20"/>
        </w:rPr>
        <w:t xml:space="preserve">— габариты и масса шкафов, нагрузки на основание, требования к помещениям — Т0 + 3,5 мес;</w:t>
      </w:r>
    </w:p>
    <w:p>
      <w:r>
        <w:rPr>
          <w:sz w:val="20"/>
        </w:rPr>
        <w:t xml:space="preserve">— тепловыделения оборудования и требования к вентиляции помещений — Т0 + 4,0 мес;</w:t>
      </w:r>
    </w:p>
    <w:p>
      <w:r>
        <w:rPr>
          <w:sz w:val="20"/>
        </w:rPr>
        <w:t xml:space="preserve">— протоколы обмена с оборудованием поставки (краны, катодосдирочная машина) и с выпрямителями смежной поставки — Т0 + 4,0 мес;</w:t>
      </w:r>
    </w:p>
    <w:p>
      <w:r>
        <w:rPr>
          <w:sz w:val="20"/>
        </w:rPr>
        <w:t xml:space="preserve">— требования к электропитанию, времени автономной работы и схеме резервирования — Т0 + 3,5 мес.</w:t>
      </w:r>
    </w:p>
    <w:p>
      <w:pPr>
        <w:pStyle w:val="Heading2"/>
      </w:pPr>
      <w:r>
        <w:rPr>
          <w:b/>
          <w:sz w:val="24"/>
        </w:rPr>
        <w:t xml:space="preserve">8.6. Контроль, приёмка и шеф-монтаж</w:t>
      </w:r>
    </w:p>
    <w:p>
      <w:r>
        <w:rPr>
          <w:sz w:val="20"/>
        </w:rPr>
        <w:t xml:space="preserve">— заводские испытания комплекса технических средств с протоколом;</w:t>
      </w:r>
    </w:p>
    <w:p>
      <w:r>
        <w:rPr>
          <w:sz w:val="20"/>
        </w:rPr>
        <w:t xml:space="preserve">— автономная наладка с имитацией всех блокировок по перечню уставок;</w:t>
      </w:r>
    </w:p>
    <w:p>
      <w:r>
        <w:rPr>
          <w:sz w:val="20"/>
        </w:rPr>
        <w:t xml:space="preserve">— испытания по согласованной программе и методике: предварительные, опытная эксплуатация, приёмочные;</w:t>
      </w:r>
    </w:p>
    <w:p>
      <w:r>
        <w:rPr>
          <w:sz w:val="20"/>
        </w:rPr>
        <w:t xml:space="preserve">— поверка средств измерений и аттестация измерительных каналов, используемых при гарантийных испытаниях;</w:t>
      </w:r>
    </w:p>
    <w:p>
      <w:r>
        <w:rPr>
          <w:sz w:val="20"/>
        </w:rPr>
        <w:t xml:space="preserve">— обучение персонала Заказчика и передача исходных кодов прикладного программного обеспечения в объёме, установленном договором.</w:t>
      </w:r>
    </w:p>
    <w:p>
      <w:r>
        <w:rPr>
          <w:color w:val="666666"/>
          <w:sz w:val="17"/>
        </w:rPr>
        <w:t xml:space="preserve">Источник: ИД ч.2 п. 4.2.2; Приложение №5 к ТЗ; разделы БИ «АСУ отделения», «Испытания и приёмка»</w:t>
      </w:r>
    </w:p>
    <w:p>
      <w:pPr>
        <w:pStyle w:val="Heading1"/>
      </w:pPr>
      <w:r>
        <w:rPr>
          <w:b/>
          <w:sz w:val="28"/>
        </w:rPr>
        <w:t xml:space="preserve">9. График запроса предложений и выдачи исходных требований</w:t>
      </w:r>
    </w:p>
    <w:p>
      <w:r>
        <w:rPr>
          <w:sz w:val="20"/>
        </w:rPr>
        <w:t xml:space="preserve">График построен от даты начала работ по Базовому инжинирингу (Т0) и увязан с проектом этапности выдачи материалов: Этап 1 — 3 месяца от начала работ, Этап 2 — 3 месяца после завершения Этапа 1. Позиции длительного цикла вынесены в первую очередь выдачи, что позволяет Заказчику начать контрактацию до полного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6200"/>
        <w:gridCol w:w="2554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Шаг</w:t>
            </w:r>
          </w:p>
        </w:tc>
        <w:tc>
          <w:tcPr>
            <w:tcW w:w="6200" w:type="dxa"/>
            <w:shd w:val="clear" w:fill="EFEFEF"/>
          </w:tcPr>
          <w:p>
            <w:r>
              <w:rPr>
                <w:b/>
                <w:sz w:val="18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от Т0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Согласование с Заказчиком перечня основного оборудования и позиций длительного цикла; получение форм опросных листов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… Т0 + 1,0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опросных листов и исходных требований по позициям длительного цикла — первая очередь поэтапной выдачи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+ 1,0 … 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Рассылка запросов технико-коммерческих предложений по позициям длительного цикла — не менее двух-трёх изготовителей на позицию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Приём предложений, техническая проверка, уточняющие запросы и приведение предложений к сопоставимому виду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+ 2,0 … 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1 Базового инжиниринга, включая настоящий документ в ревизии по данным предложений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Передача данных изготовителей в разделы конструкций, фундаментов, монтажа, электроснабжения и автоматизации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… Т0 + 4,0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2 Базового инжиниринга; бюджетная оценка комплектной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+ 6,0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Подготовка технической части договоров на позиции длительного цикла; контрактация Заказчиком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по решению Заказчика — после выпуска Этапа 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9.1. Требования к содержанию предложений</w:t>
      </w:r>
    </w:p>
    <w:p>
      <w:r>
        <w:rPr>
          <w:sz w:val="20"/>
        </w:rPr>
        <w:t xml:space="preserve">Технико-коммерческое предложение по позиции длительного цикла принимается к оценке при выполнении следующих условий:</w:t>
      </w:r>
    </w:p>
    <w:p>
      <w:r>
        <w:rPr>
          <w:sz w:val="20"/>
        </w:rPr>
        <w:t xml:space="preserve">— указан материал контактных частей с маркой и нормативной документацией поставки;</w:t>
      </w:r>
    </w:p>
    <w:p>
      <w:r>
        <w:rPr>
          <w:sz w:val="20"/>
        </w:rPr>
        <w:t xml:space="preserve">— срок изготовления и поставки указан письменно, с расшифровкой по этапам (разработка конструкторской документации, изготовление, испытания, отгрузка, доставка) и с указанием условий действительности срока;</w:t>
      </w:r>
    </w:p>
    <w:p>
      <w:r>
        <w:rPr>
          <w:sz w:val="20"/>
        </w:rPr>
        <w:t xml:space="preserve">— приведены масса изделия, членение на поставочные блоки и транспортные габариты;</w:t>
      </w:r>
    </w:p>
    <w:p>
      <w:r>
        <w:rPr>
          <w:sz w:val="20"/>
        </w:rPr>
        <w:t xml:space="preserve">— референс подтверждён по продукту и среде применения, а не по классу оборудования;</w:t>
      </w:r>
    </w:p>
    <w:p>
      <w:r>
        <w:rPr>
          <w:sz w:val="20"/>
        </w:rPr>
        <w:t xml:space="preserve">— по каждой позиции прорабатывается не менее одного российского изготовителя;</w:t>
      </w:r>
    </w:p>
    <w:p>
      <w:r>
        <w:rPr>
          <w:sz w:val="20"/>
        </w:rPr>
        <w:t xml:space="preserve">— указаны объём шеф-монтажа, пусконаладки, обучения и состав запасных частей.</w:t>
      </w:r>
    </w:p>
    <w:p>
      <w:r>
        <w:rPr>
          <w:sz w:val="20"/>
        </w:rPr>
        <w:t xml:space="preserve">Сроки изготовления и условия логистики, подтверждённые предложениями, вносятся в настоящий документ при следующей ревизии и используются при формировании бюджетной оценки комплектной поставки (ОВЭ75-БИ-Л3-СТ).</w:t>
      </w:r>
    </w:p>
    <w:p>
      <w:r>
        <w:rPr>
          <w:color w:val="666666"/>
          <w:sz w:val="17"/>
        </w:rPr>
        <w:t xml:space="preserve">Источник: ТЗ на БИ ред. 4.1 (порядок формирования стоимости поставки); проект этапности от 25.08.2026; правила запроса предложений, принятые в Базовом инжиниринге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инжиниринга, уточняется по предложениям изготовителей либо требует решения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всем позициям — в исходных данных не заданы; подтверждаются письменно в технико-коммерческих предложениях. Критический путь поставки по лоту образуют электролизные ванны и катодосдирочная машина.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Темп поставки ванн в штуках в месяц под график монтажа рядов — согласовывается с изготовителем и монтажной организацией; определяет возможность поэтапного ввода серий.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оборудования, относимого к основному (для опросных листов и запроса предложений), —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Программа формирования анодной оксидной плёнки (ток, продолжительность, состав раствора) — запрашивается у поставщика анодов.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Граница поставки линии подготовки катодных основ: входят ли правка и обрамление основ в комплект катодосдирочной машины либо это отдельная позиция — уточняется при запросе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(заводское изготовление секциями либо изготовление из железобетона по месту) — вариантная проработка на стадии Базового инжиниринга с оценкой стоимости и влияния на график.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Нормы сопротивления изоляции ванны и серии — по инструкции поставщика ванн и ошиновки; вносятся в программу и методику испытаний.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Поверочный расчёт существующих конструкций под новую раскладку опор ванн и модернизированные краны — выполняется по результатам обследования; влияет на требования к массам поставляемого оборудования.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Выпрямительные агрегаты находятся вне границ Лота №3, но на критическом пути пуска: срок их контрактации Заказчиком согласовывается с графиком поставки ванн и ошиновки.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l3 dc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