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ОВЭ-75 · Расчётная записка (независимый пересчёт КВАНТ)</w:t>
      </w:r>
    </w:p>
    <w:p>
      <w:r>
        <w:rPr>
          <w:sz w:val="20"/>
        </w:rPr>
        <w:t xml:space="preserve">АО «Кольская ГМК», комплекс «обжиг–выщелачивание–электроэкстракция» 75 000 т/год. Сборка 2026-08-27. К ТЗ на БИ v3.6 и ИД ч.1/ч.2.</w:t>
      </w:r>
    </w:p>
    <w:p>
      <w:r>
        <w:rPr>
          <w:i/>
          <w:sz w:val="19"/>
        </w:rPr>
        <w:t xml:space="preserve">Независимый пересчёт КВАНТ: балансы и режимы восстановлены из первичных составов и физических констант и сверены с итогами ИД. Вердикты: ok — сходится (≤1,5 %), warn — в допуске модели, question — методологический вопрос Гипроникелю. Расчёты подлежат рецензии инженера перед включением в БИ.</w:t>
      </w:r>
    </w:p>
    <w:p>
      <w:r>
        <w:rPr>
          <w:b/>
          <w:sz w:val="21"/>
        </w:rPr>
        <w:t xml:space="preserve">Итого: блоков 21, сверок 40 (сходится 33, в допуске 1, вопросов 6), находок для Гипроникеля 11.</w:t>
      </w:r>
    </w:p>
    <w:p/>
    <w:p>
      <w:pPr>
        <w:pStyle w:val="Heading1"/>
      </w:pPr>
      <w:r>
        <w:rPr>
          <w:b/>
          <w:sz w:val="28"/>
        </w:rPr>
        <w:t xml:space="preserve">1. Находки — вопросы к ИД</w:t>
      </w:r>
    </w:p>
    <w:p>
      <w:r>
        <w:rPr>
          <w:b/>
          <w:sz w:val="21"/>
        </w:rPr>
        <w:t xml:space="preserve">1. [к сведению] Газовые потоки ИД — часовые максимумы (K=1,15): тракт и СКЦ проверять именно на них</w:t>
      </w:r>
    </w:p>
    <w:p>
      <w:r>
        <w:rPr>
          <w:sz w:val="20"/>
        </w:rPr>
        <w:t xml:space="preserve">Независимый пересчёт SO₂: номинал 1 880,5 нм³/ч, максимум 2 162,6 нм³/ч — совпадает с 12 129 × 17,83 % = 2 162,6 нм³/ч только при K = 1,15. Просить Гипроникель подтвердить базис часовых потоков табл. 23.</w:t>
      </w:r>
    </w:p>
    <w:p>
      <w:r>
        <w:rPr>
          <w:b/>
          <w:sz w:val="21"/>
        </w:rPr>
        <w:t xml:space="preserve">2. [ВАЖНО] Кислород: норма расхода табл. 26 превышает балансовую потребность на ~16 %</w:t>
      </w:r>
    </w:p>
    <w:p>
      <w:r>
        <w:rPr>
          <w:sz w:val="20"/>
        </w:rPr>
        <w:t xml:space="preserve">Запросить у Гипроникеля базис нормы 37,121 млн нм³/год кислорода: коэффициент запаса к стехиометрии, принятый избыток дутья и обогащение 52 % O₂. Влияет на ТЭП (кислород — крупная статья затрат) и на выбор воздуходувки/кислородопровода.</w:t>
      </w:r>
    </w:p>
    <w:p>
      <w:r>
        <w:rPr>
          <w:b/>
          <w:sz w:val="21"/>
        </w:rPr>
        <w:t xml:space="preserve">3. [ВАЖНО] Тепловой эффект обжига 2,378 ГДж/т — запросить расчёт (наша оценка 2,7–2,9)</w:t>
      </w:r>
    </w:p>
    <w:p>
      <w:r>
        <w:rPr>
          <w:sz w:val="20"/>
        </w:rPr>
        <w:t xml:space="preserve">От теплового эффекта зависят автогенный режим (930 °C без топлива), обогащение дутья 52 % O₂ и пар КУ. Наша термохимическая оценка по стандартным энтальпиям выше принятой в ИД на 15–20 %. Просить вещественный расчёт реакций (доли Cu₂S/Cu₅FeS₄/CuS, степень окисления Fe) — иначе гарантии по пару и топливу принимаем с оговоркой.</w:t>
      </w:r>
    </w:p>
    <w:p>
      <w:r>
        <w:rPr>
          <w:b/>
          <w:sz w:val="21"/>
        </w:rPr>
        <w:t xml:space="preserve">4. [ВАЖНО] Электропотребление лота 1 занижено в ИД: неучтённые потребители дают ≈ +50 %</w:t>
      </w:r>
    </w:p>
    <w:p>
      <w:r>
        <w:rPr>
          <w:sz w:val="20"/>
        </w:rPr>
        <w:t xml:space="preserve">Воздуходувка дутья (≈216/409 кВт осн./вспом.), вакуум-насосы фильтрации и аспирация не нормированы в табл. 26 (ИД сам это оговаривает). Средняя нагрузка лота 1 ≈976 кВт против 625 кВт по учтённому. Кроме того, дымосос нормирован по установленной мощности (400 кВт) — ТЭП завышается. Учесть в расчёте нагрузок (D-ТУ) и ТЭП.</w:t>
      </w:r>
    </w:p>
    <w:p>
      <w:r>
        <w:rPr>
          <w:b/>
          <w:sz w:val="21"/>
        </w:rPr>
        <w:t xml:space="preserve">5. [ВАЖНО] Cu в медном купоросе 25,7 % &gt; теоретических 25,45 % для CuSO₄·5H₂O</w:t>
      </w:r>
    </w:p>
    <w:p>
      <w:r>
        <w:rPr>
          <w:sz w:val="20"/>
        </w:rPr>
        <w:t xml:space="preserve">Запросить базис: на какую форму/влажность дан состав 25,7 % Cu (ТЗ п. 4.2). Чистый пентагидрат содержит 25,45 % Cu; 25,7 % достижимо только при частичном обезвоживании. Это формулировка гарантийного показателя продукта — принципиально для приёмо-сдаточных испытаний лота 2.</w:t>
      </w:r>
    </w:p>
    <w:p>
      <w:r>
        <w:rPr>
          <w:b/>
          <w:sz w:val="21"/>
        </w:rPr>
        <w:t xml:space="preserve">6. [уточнить] η в ИД задан неявно (≈89 % из табл. 3.1/4.2) — запросить подтверждение</w:t>
      </w:r>
    </w:p>
    <w:p>
      <w:r>
        <w:rPr>
          <w:sz w:val="20"/>
        </w:rPr>
        <w:t xml:space="preserve">η в ИД задан неявно: из табл. 3.1/4.2 следует ≈89 % (49,49 кг/ч при 47,04 кА; U_в = 2,05 В при w = 1 942 кВт·ч/т). Запросить подтверждение принятого значения у Гипроникеля. Значение нужно зафиксировать как гарантийный параметр (влияет на удельный расход электроэнергии 1 942 кВт·ч/т).</w:t>
      </w:r>
    </w:p>
    <w:p>
      <w:r>
        <w:rPr>
          <w:b/>
          <w:sz w:val="21"/>
        </w:rPr>
        <w:t xml:space="preserve">7. [ВАЖНО] Базис — новое строительство: подтверждён ТЗ v4.1 п.1.3 (+7–10 млрд ₽, +18–24 мес); открыты статус Прил.№6/№7 и генплан</w:t>
      </w:r>
    </w:p>
    <w:p>
      <w:r>
        <w:rPr>
          <w:sz w:val="20"/>
        </w:rPr>
        <w:t xml:space="preserve">ТЗ v4.1 (25.08.2026, п.1.3) подтвердило вводную владельца от 15.08.2026: «новое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(правило «зачёркнутое = исключено», 25.08) — базис един для всех лотов. Открыто: статус обмерных Прил.№6/№7 в перечне приложений (C-94) и выдача «варианта размещения» (генплана) как ИД (Q-10) — без него посадка корпусов и внутриплощадочные сети в БИ не считаются. Наша компоновка нового корпуса — блок NB-EW; CAPEX +7–10 млрд ₽, срок +18–24 мес против сценария приспособления.</w:t>
      </w:r>
    </w:p>
    <w:p>
      <w:r>
        <w:rPr>
          <w:b/>
          <w:sz w:val="21"/>
        </w:rPr>
        <w:t xml:space="preserve">8. [ВАЖНО] «75 000 т/год» не обеспечены заявленным сырьём: доступно ~70,3 тыс. т (дефицит 6,3 %)</w:t>
      </w:r>
    </w:p>
    <w:p>
      <w:r>
        <w:rPr>
          <w:sz w:val="20"/>
        </w:rPr>
        <w:t xml:space="preserve">Сырьё ИД табл. 22 после вычета потерь и уходов Cu со смешанным купоросом даёт ≈70,3 тыс. т к катоду; расчётная производительность ИД ч.2 — 69,25 тыс. т. Гарантийную формулировку строить двумя строками: «мощность оборудования — 75 000 т/год; годовой выпуск при сырье по ИД табл. 22 — 69,3 тыс. т ±1 %». Спросить Заказчика, планируется ли дозагрузка сырьём сверх ИД.</w:t>
      </w:r>
    </w:p>
    <w:p>
      <w:r>
        <w:rPr>
          <w:b/>
          <w:sz w:val="21"/>
        </w:rPr>
        <w:t xml:space="preserve">9. [ВАЖНО] Кислотная точка росы газов ≈221/209 °C — заложить требования к стенкам тракта (≥240 °C) и продувке при остановках</w:t>
      </w:r>
    </w:p>
    <w:p>
      <w:r>
        <w:rPr>
          <w:sz w:val="20"/>
        </w:rPr>
        <w:t xml:space="preserve">SO₃ 0,72 % даёт высокую точку росы. В БИ включить: тепловую изоляцию с контролем холодных мостов, обогрев бункеров ЭФ, регламент продувки при остановках, материал узлов подсосов. Это гарантийный фактор межремонтного пробега газового тракта.</w:t>
      </w:r>
    </w:p>
    <w:p>
      <w:r>
        <w:rPr>
          <w:b/>
          <w:sz w:val="21"/>
        </w:rPr>
        <w:t xml:space="preserve">10. [к сведению] Габарит печи КС найден в ИД ч.1 (стр. 417): конус Ø6000→8390, 583 сопла — модель и CFD-кейс обновлены</w:t>
      </w:r>
    </w:p>
    <w:p>
      <w:r>
        <w:rPr>
          <w:sz w:val="20"/>
        </w:rPr>
        <w:t xml:space="preserve">Ранее запрашивали табл. 24/25 — не требуется: геометрия есть в тексте разд. 2.3. Наша проверка: слой ~2 м, напряжённость по зеркалу ~7 т/(м²·сут) — конструкция консистентна. Для CFD остаётся запросить: живое сечение решётки (диаметр отверстий сопел) и отметку ввода шнекового забрасывателя.</w:t>
      </w:r>
    </w:p>
    <w:p>
      <w:r>
        <w:rPr>
          <w:b/>
          <w:sz w:val="21"/>
        </w:rPr>
        <w:t xml:space="preserve">11. [ВАЖНО] Хлор в электролите 25–30 г/м³ — на пределе стойкости матриц 316L (кампания 6 лет под риском)</w:t>
      </w:r>
    </w:p>
    <w:p>
      <w:r>
        <w:rPr>
          <w:sz w:val="20"/>
        </w:rPr>
        <w:t xml:space="preserve">Практика EW: питтинг нержавеющих основ ускоряется при Cl⁻ выше ~25–30 мг/л. ИД задаёт фон 25–30 г/м³ и кампанию матриц 6 лет одновременно — гарантировать обе цифры сразу рискованно. Консервативно: кампания 6 лет гарантируется при Cl⁻ ≤25 г/м³ и регламенте промывки кромок; при 30 г/м³ — кампания «по фактическому состоянию». Зафиксировать в гарантийной рамке.</w:t>
      </w:r>
    </w:p>
    <w:p/>
    <w:p>
      <w:pPr>
        <w:pStyle w:val="Heading1"/>
      </w:pPr>
      <w:r>
        <w:rPr>
          <w:b/>
          <w:sz w:val="28"/>
        </w:rPr>
        <w:t xml:space="preserve">2. Гарантийная рамка — консервативные значения для ТКП и договора</w:t>
      </w:r>
    </w:p>
    <w:p>
      <w:r>
        <w:rPr>
          <w:i/>
          <w:sz w:val="19"/>
        </w:rPr>
        <w:t xml:space="preserve">Правило: гарантируем границу с запасом к расчёту; условия — на сырьё и данные изготовителей; расчётные значения — справочные.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2900"/>
        <w:gridCol w:w="2900"/>
        <w:gridCol w:w="12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Расчёт / ИД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Гарантия (рекомендация)</w:t>
            </w:r>
          </w:p>
        </w:tc>
        <w:tc>
          <w:tcPr>
            <w:tcW w:w="1238" w:type="dxa"/>
            <w:shd w:val="clear" w:fill="EFEFEF"/>
          </w:tcPr>
          <w:p>
            <w:r>
              <w:rPr>
                <w:b/>
                <w:sz w:val="19"/>
              </w:rPr>
              <w:t xml:space="preserve">Базис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Производительность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мощность 75 000 т/год (280 А/м² → 76,7); сырьё ИД → 69,25 тыс. т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мощность оборудования 75 000 т/год; годовой выпуск при сырье ИД табл. 22 — 69 300 т ±1 %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X-CU; разделить мощность и выпуск (F-CAP)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Качество катодов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М00к, примеси с запасом (S 0,0006 %, Pb 0,00004 %)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М00к по ГОСТ 859-2014 ПРИ порогах примесей богатого раствора по ИД табл. 1.1/5.8 (условная гарантия на сырьё)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качество катода не может гарантироваться безусловно при чужом сырье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Удельный расход электроэнергии ЭЭ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1 942 кВт·ч/т (расчёт при η=89 %)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≤2 050 кВт·ч/т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+5,5 % на старение анодов, рост КЗ, зимний режим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Выход по току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≈89 % (из ИД табл. 3.1/4.2, задан неявно)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≥88 % (проектное значение по ИД ≈89 %; повышение до ≥90 % — только после письменного подтверждения η Гипроникелем)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F-ETA: η задан в ИД неявно (≈89 %)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Сера в огарке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0,051 % (расчёт ИД)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≤0,10 %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граница самого ТЗ; запас ×2 к расчёту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Запылённость газа на СКЦ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0,1 г/нм³ при η_ЭФ 99,69 %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≤0,1 г/нм³ при гарантии изготовителя ЭФ ≥96 %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перенос финальной гарантии на vendor data (D-09)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SO₂ на СКЦ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15,59 / 9,49 % (осн./вспом.)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диапазон 9–16 % по режимам; стабильность ±1,5 % абс. за 15 мин — контуром АСУ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СКЦ важнее стабильность, чем абсолют; гарантия при составе шихты по ИД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Пар КУ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4,10 / 6,48 т/ч (энтальпийно сходится)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справочно 4,1/6,5 т/ч; жёсткая гарантия ≥3,6 т/ч (осн.) — только после подтверждения теплового расчёта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F-HEAT: тепловой эффект под вопросом (наша оценка +20 %)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Мазут М-100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468 / 2 844 т/год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≤520 (осн.) / ≤3 100 (вспом.) т/год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+11/9 % на пусковые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Кислород технический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520,9 нм³/т (норма ИД)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≤560 нм³/т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F-O2: базис нормы не подтверждён (+7,5 % запас)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Температуры газового тракта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точка росы 221/209 °C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газ на СКЦ 387 ±15 °C; стенки тракта ≥240 °C; продувка при остановках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L1-DEW / F-DEW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Медный купорос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25,7 % Cu (выше стехиометрии пентагидрата)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Cu ≥25,0 % (сухой), влажность ≤6 %, крупность ≤2 мм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F-KUPOROS: базис 25,7 % не подтверждён — гарантируем достижимое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Кампания матриц / анодов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6 лет / 5–7 лет при Cl 25–30 г/м³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матрицы 6 лет при Cl⁻ ≤25 г/м³ и регламенте промывки; аноды 5 лет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F-CL: хлор на пределе для 316L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КИО ванн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98 % (чистка ≤1 раз/год)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≥97 %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запас на первый год освоения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Электропотребление лота 1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7,6 млн кВт·ч/год с досчётом (ИД: 4,95)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закладывать в ТЭП 7,6 млн кВт·ч/год; в ТУ — среднюю 1,0 МВт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F-EL1: воздуходувка/вакуум/аспирация не нормированы в ИД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АСУТП</w:t>
            </w:r>
          </w:p>
        </w:tc>
        <w:tc>
          <w:tcPr>
            <w:tcW w:w="2900" w:type="dxa"/>
          </w:tcPr>
          <w:p>
            <w:r>
              <w:rPr>
                <w:sz w:val="19"/>
              </w:rPr>
              <w:t xml:space="preserve">1,7–2,4 тыс. сигналов</w:t>
            </w:r>
          </w:p>
        </w:tc>
        <w:tc>
          <w:tcPr>
            <w:tcW w:w="2900" w:type="dxa"/>
          </w:tcPr>
          <w:p>
            <w:r>
              <w:rPr>
                <w:b/>
                <w:color w:val="8B0000"/>
                <w:sz w:val="19"/>
              </w:rPr>
              <w:t xml:space="preserve">запас модулей в/в ≥30 %, резерв контроллеров ≥20 %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 xml:space="preserve">Прил. №5 и Методика ЕТТ — их же требования, фиксируем как гарантию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3. Неопределённость: Монте-Карло 20 000 прогонов</w:t>
      </w:r>
    </w:p>
    <w:p>
      <w:r>
        <w:rPr>
          <w:i/>
          <w:sz w:val="19"/>
        </w:rPr>
        <w:t xml:space="preserve">Доверительные интервалы P10–P90 и рейтинг чувствительности (Спирмен) по 20 000 прогонам модели. Интервалы определяются входными данными, а не вычислительной мощностью: весь прогон занимает доли секунды на одном ядре. Колонка «что уточнять» — какая единица данных схлопывает интервал.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700"/>
        <w:gridCol w:w="1200"/>
        <w:gridCol w:w="1200"/>
        <w:gridCol w:w="1200"/>
        <w:gridCol w:w="1100"/>
        <w:gridCol w:w="2238"/>
      </w:tblGrid>
      <w:tr>
        <w:tc>
          <w:tcPr>
            <w:tcW w:w="27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P10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P50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P90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Размах</w:t>
            </w:r>
          </w:p>
        </w:tc>
        <w:tc>
          <w:tcPr>
            <w:tcW w:w="2238" w:type="dxa"/>
            <w:shd w:val="clear" w:fill="EFEFEF"/>
          </w:tcPr>
          <w:p>
            <w:r>
              <w:rPr>
                <w:b/>
                <w:sz w:val="19"/>
              </w:rPr>
              <w:t xml:space="preserve">Что уточнять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Катодная медь, т/год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68 717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70 178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71 669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4,2 %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паспорта/планы поставок сырья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Пар КУ, т/ч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4,13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4,55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расчёт теплового эффекта Гипроникеля (F-HEAT)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SO₂ на СКЦ (номинал), %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14,7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15,6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16,6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11,8 %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стабильность шихтовки и подсосов</w:t>
            </w:r>
          </w:p>
        </w:tc>
      </w:tr>
      <w:tr>
        <w:tc>
          <w:tcPr>
            <w:tcW w:w="2700" w:type="dxa"/>
          </w:tcPr>
          <w:p>
            <w:r>
              <w:rPr>
                <w:b/>
                <w:sz w:val="19"/>
              </w:rPr>
              <w:t xml:space="preserve">Электрика лота 1, млн кВт·ч/год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7,05</w:t>
            </w:r>
          </w:p>
        </w:tc>
        <w:tc>
          <w:tcPr>
            <w:tcW w:w="1200" w:type="dxa"/>
          </w:tcPr>
          <w:p>
            <w:r>
              <w:rPr>
                <w:b/>
                <w:sz w:val="19"/>
              </w:rPr>
              <w:t xml:space="preserve">7,79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8,55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238" w:type="dxa"/>
          </w:tcPr>
          <w:p>
            <w:r>
              <w:rPr>
                <w:sz w:val="18"/>
              </w:rPr>
              <w:t xml:space="preserve">опросные листы воздуходувки/вакуума (F-EL1)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4. Расчётные блоки и сверки</w:t>
      </w:r>
    </w:p>
    <w:p>
      <w:pPr>
        <w:pStyle w:val="Heading2"/>
      </w:pPr>
      <w:r>
        <w:rPr>
          <w:b/>
          <w:sz w:val="26"/>
        </w:rPr>
        <w:t xml:space="preserve">L1-MET · Баланс металлов: приход из составов сырья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Концентрат ОРФ на шихту: 73 492 т/год; Cu 67,10 / Ni 4,20 / Co 0,22 / Fe 5,24 / S 23,24 % [ИД ч.1 табл. 22 стр.1, табл. 23 п.62] · Кек NNH: 24 218,5 т/год; Cu 55,00 / Ni 3,00 / Co 0,10 / Fe 3,00 / S 20,00 % [ИД ч.1 табл. 22 стр.2, табл. 23 п.71] · Цементная медь: 9 181,9 т/год; Cu 94,00 / Ni 2,50 / Co 0,06 / Fe 0,10 / S 0,14 % [ИД ч.1 табл. 22 стр.3, табл. 23 п.80]</w:t>
      </w:r>
    </w:p>
    <w:p>
      <w:r>
        <w:rPr>
          <w:b/>
          <w:sz w:val="20"/>
        </w:rPr>
        <w:t xml:space="preserve">Масса каждого элемента:  </w:t>
      </w:r>
      <w:r>
        <w:rPr>
          <w:sz w:val="20"/>
        </w:rPr>
        <w:t xml:space="preserve">m_эл = Σ (масса компонента × содержание, %)</w:t>
      </w:r>
    </w:p>
    <w:p>
      <w:r>
        <w:rPr>
          <w:b/>
          <w:sz w:val="20"/>
        </w:rPr>
        <w:t xml:space="preserve">Сухая шихта:  </w:t>
      </w:r>
      <w:r>
        <w:rPr>
          <w:sz w:val="20"/>
        </w:rPr>
        <w:t xml:space="preserve">73 492 + 24 218,5 + 9 181,9 = 106 892,4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Медь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Никель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Кобальт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Железо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шихте,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Сухая шихта,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Составы и массы трёх компонентов сырья взаимно согласованы с итогами таблицы 22 ИД: невязка по всем пяти элементам ≤0,01 %. Приходную часть баланса подтверждаем.</w:t>
      </w:r>
    </w:p>
    <w:p/>
    <w:p>
      <w:pPr>
        <w:pStyle w:val="Heading2"/>
      </w:pPr>
      <w:r>
        <w:rPr>
          <w:b/>
          <w:sz w:val="26"/>
        </w:rPr>
        <w:t xml:space="preserve">L1-S · Баланс серы: распределение огарок / пыль / газ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в огарке: 81 896 т × 0,051 % [ИД табл. 22 стр.4, табл. 23 п.243] · Сера в пылях: КУ 2,15 % · циклон 2,27 % · ЭФ и унос 3,44 % [ИД табл. 22 стр.5–9] · Потери 502 т/год: принята средняя сера шихты 20,52 % [ИД табл. 22 стр.12; допущение КВАНТ]</w:t>
      </w:r>
    </w:p>
    <w:p>
      <w:r>
        <w:rPr>
          <w:b/>
          <w:sz w:val="20"/>
        </w:rPr>
        <w:t xml:space="preserve">Сера в огарок:  </w:t>
      </w:r>
      <w:r>
        <w:rPr>
          <w:sz w:val="20"/>
        </w:rPr>
        <w:t xml:space="preserve">81 896 × 0,00051 = 41,8 т</w:t>
      </w:r>
    </w:p>
    <w:p>
      <w:r>
        <w:rPr>
          <w:b/>
          <w:sz w:val="20"/>
        </w:rPr>
        <w:t xml:space="preserve">Сера в пыли:  </w:t>
      </w:r>
      <w:r>
        <w:rPr>
          <w:sz w:val="20"/>
        </w:rPr>
        <w:t xml:space="preserve">9 081×2,15 % + 8 165×2,27 % + 2 930×3,44 % = 481,4 т</w:t>
      </w:r>
    </w:p>
    <w:p>
      <w:r>
        <w:rPr>
          <w:b/>
          <w:sz w:val="20"/>
        </w:rPr>
        <w:t xml:space="preserve">Сера в газ (остатком):  </w:t>
      </w:r>
      <w:r>
        <w:rPr>
          <w:sz w:val="20"/>
        </w:rPr>
        <w:t xml:space="preserve">21 936,1 − 41,8 − 481,4 − 103,0 = 21 309,9 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огарке,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41,8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41,6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пылях,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481,4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484,0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-0,54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Сера в газ,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21 310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21 307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Извлечение серы в газ,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+0,02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Баланс серы замыкается остатком в газ с невязкой 0,01 % — производительность СКЦ (21,3 тыс. т S/год) подтверждена независимо.</w:t>
      </w:r>
    </w:p>
    <w:p/>
    <w:p>
      <w:pPr>
        <w:pStyle w:val="Heading2"/>
      </w:pPr>
      <w:r>
        <w:rPr>
          <w:b/>
          <w:sz w:val="26"/>
        </w:rPr>
        <w:t xml:space="preserve">L1-GAS · Газовый тракт: объём SO₂ и коэффициент максимума 1,15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в газ: 21 309,9 т/год (наш баланс L1-S) [расчёт КВАНТ] · Фонд времени печи: 7 920 ч/год (330 сут) [ИД ч.1 Прил. В] · Внутрипечной газ (макс.): 12 129 нм³/ч, SO₂ 17,83 % [ИД табл. 23 (баланс обжига)]</w:t>
      </w:r>
    </w:p>
    <w:p>
      <w:r>
        <w:rPr>
          <w:b/>
          <w:sz w:val="20"/>
        </w:rPr>
        <w:t xml:space="preserve">SO₂ номинал:  </w:t>
      </w:r>
      <w:r>
        <w:rPr>
          <w:sz w:val="20"/>
        </w:rPr>
        <w:t xml:space="preserve">21 309,9·10³ / 32,07 × 22,414 / 7 920 = 1 880,5 нм³/ч</w:t>
      </w:r>
    </w:p>
    <w:p>
      <w:r>
        <w:rPr>
          <w:b/>
          <w:sz w:val="20"/>
        </w:rPr>
        <w:t xml:space="preserve">SO₂ максимум (K = 1,15):  </w:t>
      </w:r>
      <w:r>
        <w:rPr>
          <w:sz w:val="20"/>
        </w:rPr>
        <w:t xml:space="preserve">1 880,5 × 1,15 = 2 162,6 нм³/ч</w:t>
      </w:r>
    </w:p>
    <w:p>
      <w:r>
        <w:rPr>
          <w:b/>
          <w:sz w:val="20"/>
        </w:rPr>
        <w:t xml:space="preserve">SO₂ по ИД из состава газа:  </w:t>
      </w:r>
      <w:r>
        <w:rPr>
          <w:sz w:val="20"/>
        </w:rPr>
        <w:t xml:space="preserve">12 129 × 17,83 % = 2 162,6 нм³/ч</w:t>
      </w:r>
    </w:p>
    <w:p>
      <w:r>
        <w:rPr>
          <w:b/>
          <w:sz w:val="20"/>
        </w:rPr>
        <w:t xml:space="preserve">SO₂ на СКЦ = SO₂ печи − конверсия в SO₃:  </w:t>
      </w:r>
      <w:r>
        <w:rPr>
          <w:sz w:val="20"/>
        </w:rPr>
        <w:t xml:space="preserve">2 162,6 − 13 262×0,718 % = 2 067,4 нм³/ч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SO₂ в печном газе (макс.), нм³/ч — сходится ТОЛЬКО в логике «часовые потоки = номинал × 1,15»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SO₂ на СКЦ с учётом конверсии в SO₃, нм³/ч — разница SO₂ печи и СКЦ ровно равна объёму SO₃ — конверсия в тракте ≈4,4 % самосогласована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Объём SO₂ по нашему балансу совпадает с ИД (невязка 0,05 %) при условии, что ВСЕ часовые газовые потоки таблицы 23 — максимальные (K = 1,15). Это подтверждает методическое примечание черновика БИ и должно быть зафиксировано для выбора газоходов, дымососов и согласования с СКЦ.</w:t>
      </w:r>
    </w:p>
    <w:p/>
    <w:p>
      <w:pPr>
        <w:pStyle w:val="Heading2"/>
      </w:pPr>
      <w:r>
        <w:rPr>
          <w:b/>
          <w:sz w:val="26"/>
        </w:rPr>
        <w:t xml:space="preserve">L1-O2 · Кислородный баланс печи КС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Кислород технический 96 %: 37,121 млн нм³/год [ИД табл. 26] · Технологический воздух: 52,708 млн нм³/год (O₂ 20,95 %) [ИД табл. 26] · Твёрдые продукты: огарок 81 896 + пыль 20 175 + потери 502 т [ИД табл. 22] · Газ на СКЦ: 13 262 нм³/ч (макс.), O₂ 16,33 % [ИД табл. 23 п.400–401]</w:t>
      </w:r>
    </w:p>
    <w:p>
      <w:r>
        <w:rPr>
          <w:b/>
          <w:sz w:val="20"/>
        </w:rPr>
        <w:t xml:space="preserve">O₂ на SO₂ (1:1 по молям):  </w:t>
      </w:r>
      <w:r>
        <w:rPr>
          <w:sz w:val="20"/>
        </w:rPr>
        <w:t xml:space="preserve">21 309,9·10³/32,07 × 22,414 = 14,89 млн нм³</w:t>
      </w:r>
    </w:p>
    <w:p>
      <w:r>
        <w:rPr>
          <w:b/>
          <w:sz w:val="20"/>
        </w:rPr>
        <w:t xml:space="preserve">O₂, связанный в твёрдых (прирост массы):  </w:t>
      </w:r>
      <w:r>
        <w:rPr>
          <w:sz w:val="20"/>
        </w:rPr>
        <w:t xml:space="preserve">(102 573,0 − 85 580,7) = 16 992,3 т = 11,90 млн нм³</w:t>
      </w:r>
    </w:p>
    <w:p>
      <w:r>
        <w:rPr>
          <w:b/>
          <w:sz w:val="20"/>
        </w:rPr>
        <w:t xml:space="preserve">Потребность:  </w:t>
      </w:r>
      <w:r>
        <w:rPr>
          <w:sz w:val="20"/>
        </w:rPr>
        <w:t xml:space="preserve">14,89 + 11,90 = 26,80 млн нм³</w:t>
      </w:r>
    </w:p>
    <w:p>
      <w:r>
        <w:rPr>
          <w:b/>
          <w:sz w:val="20"/>
        </w:rPr>
        <w:t xml:space="preserve">Подача:  </w:t>
      </w:r>
      <w:r>
        <w:rPr>
          <w:sz w:val="20"/>
        </w:rPr>
        <w:t xml:space="preserve">37,121×0,96 + 52,708×0,2095 = 46,68 млн нм³</w:t>
      </w:r>
    </w:p>
    <w:p>
      <w:r>
        <w:rPr>
          <w:b/>
          <w:sz w:val="20"/>
        </w:rPr>
        <w:t xml:space="preserve">Избыток (в газ):  </w:t>
      </w:r>
      <w:r>
        <w:rPr>
          <w:sz w:val="20"/>
        </w:rPr>
        <w:t xml:space="preserve">46,68 − 26,80 = 19,88 млн нм³</w:t>
      </w:r>
    </w:p>
    <w:p>
      <w:r>
        <w:rPr>
          <w:b/>
          <w:sz w:val="20"/>
        </w:rPr>
        <w:t xml:space="preserve">O₂ в газе на СКЦ по ИД (номинал года):  </w:t>
      </w:r>
      <w:r>
        <w:rPr>
          <w:sz w:val="20"/>
        </w:rPr>
        <w:t xml:space="preserve">91,3 млн нм³ × 16,33 % = 14,91 млн нм³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Прирост массы твёрдых (усвоенный O₂),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15,9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16,0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-0,65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Подача O₂ vs сведение баланса (SO₂ + твёрдые + газ), млн нм³/год — норма подачи превышает балансовую потребность ~ на 16 %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46,7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40,1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+16,47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Связанный в твёрдых кислород (15,9 % прироста массы) подтверждает примечание ИД. Однако сведение всего кислородного баланса даёт: потребность (SO₂ + оксиды + кислород в газе на СКЦ) ≈ 40,1 млн нм³/год против подачи 46,7 млн нм³ по нормам табл. 26 — запас ~16 %. Вероятно, табл. 26 — норма расхода с запасом, а не баланс.</w:t>
      </w:r>
    </w:p>
    <w:p/>
    <w:p>
      <w:pPr>
        <w:pStyle w:val="Heading2"/>
      </w:pPr>
      <w:r>
        <w:rPr>
          <w:b/>
          <w:sz w:val="26"/>
        </w:rPr>
        <w:t xml:space="preserve">L1-HEAT · Тепловой эффект обжига: независимая оценка по энтальпиям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Сера сульфидная концентрата: 17 079,5 т (халькозин-борнит, модель Cu₂S) [ИД табл. 23 п.62; вещественный состав] · Сера сульфидная кека NNH: 3 904,0 т (ковеллин CuS); сульфатная 3,88 % не горит [ИД табл. 23 п.71] · Металлическая медь цементной меди: 7 125,2 т (77,6 %) → CuO [ИД табл. 23 п.80] · ΔH реакций: Cu₂S+2O₂→2CuO+SO₂: −531,9; CuS+1,5O₂→CuO+SO₂: −401,0; Cu+½O₂→CuO: −157,3 кДж/моль [стандартные энтальпии образования (справочные)]</w:t>
      </w:r>
    </w:p>
    <w:p>
      <w:r>
        <w:rPr>
          <w:b/>
          <w:sz w:val="20"/>
        </w:rPr>
        <w:t xml:space="preserve">Тепло сульфидов:  </w:t>
      </w:r>
      <w:r>
        <w:rPr>
          <w:sz w:val="20"/>
        </w:rPr>
        <w:t xml:space="preserve">332 089,8 ГДж/год</w:t>
      </w:r>
    </w:p>
    <w:p>
      <w:r>
        <w:rPr>
          <w:b/>
          <w:sz w:val="20"/>
        </w:rPr>
        <w:t xml:space="preserve">Тепло окисления металлической меди:  </w:t>
      </w:r>
      <w:r>
        <w:rPr>
          <w:sz w:val="20"/>
        </w:rPr>
        <w:t xml:space="preserve">17 637,4 ГДж/год</w:t>
      </w:r>
    </w:p>
    <w:p>
      <w:r>
        <w:rPr>
          <w:b/>
          <w:sz w:val="20"/>
        </w:rPr>
        <w:t xml:space="preserve">Удельный эффект на влажную шихту:  </w:t>
      </w:r>
      <w:r>
        <w:rPr>
          <w:sz w:val="20"/>
        </w:rPr>
        <w:t xml:space="preserve">349 727,2 / 122 429,0 = 2,86 ГДж/т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Удельный тепловой эффект, ГДж/т шихты — наша оценка по чистым фазам выше значения ИД на ~15–20 %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2,86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2,38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+20,11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Наша верхняя оценка (чистые фазы, без эндотермики диссоциации сульфатов кека и огарка на запуск) даёт 2,86 ГДж/т против 2,378 ГДж/т в ИД. Разница объяснима вещественным составом (борнит/дигенит вместо чистого Cu₂S, частично окисленное железо), но именно тепловой эффект задаёт автогенность печи и паропроизводительность КУ — запросить расчёт Гипроникеля.</w:t>
      </w:r>
    </w:p>
    <w:p/>
    <w:p>
      <w:pPr>
        <w:pStyle w:val="Heading2"/>
      </w:pPr>
      <w:r>
        <w:rPr>
          <w:b/>
          <w:sz w:val="26"/>
        </w:rPr>
        <w:t xml:space="preserve">L1-STEAM · Пар котла-утилизатора: энтальпийная сверка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Тепловосприятие КУ (осн.): 11,30 ГДж/ч (газ 882,8 → 400 °C) [ИД табл. 23 п.278–281] · Пар 1,9 МПа, 375 °C: h ≈ 3 190 кДж/кг; питательная вода 105 °C: h ≈ 440 кДж/кг [таблицы водяного пара]</w:t>
      </w:r>
    </w:p>
    <w:p>
      <w:r>
        <w:rPr>
          <w:b/>
          <w:sz w:val="20"/>
        </w:rPr>
        <w:t xml:space="preserve">Пар из тепловосприятия:  </w:t>
      </w:r>
      <w:r>
        <w:rPr>
          <w:sz w:val="20"/>
        </w:rPr>
        <w:t xml:space="preserve">11 300 ГДж/ч ÷ (3 190 − 440) = 4,109 т/ч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Паропроизводительность (осн.), т/ч — невязка покрывает продувку 0,205 м³/ч и потери изоляции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4,11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+0,17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Энтальпийный пересчёт подтверждает 4,1 т/ч перегретого пара в основном варианте; выбор котла по вспомогательному (6,5 т/ч, до 7 т/ч) корректен.</w:t>
      </w:r>
    </w:p>
    <w:p/>
    <w:p>
      <w:pPr>
        <w:pStyle w:val="Heading2"/>
      </w:pPr>
      <w:r>
        <w:rPr>
          <w:b/>
          <w:sz w:val="26"/>
        </w:rPr>
        <w:t xml:space="preserve">L1-EL · Электрика лота 1: досчёт потребителей, не нормированных в ИД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Учтено в ИД табл. 26: ≈4,95 млн кВт·ч/год (средняя ≈625 кВт: 0,4 кВ 192 + дымосос 400 + ЭФ 32) [ИД табл. 26; сводка черновика БИ] · Воздуходувка (НЕ нормирована): 52,708 / 99,887 млн нм³/год, 0,09–0,12 МПа изб. [ИД табл. 26 (объёмы дутья); прямое указание ИД «досчитываются на стадии БИ»] · Вакуум-насосы и аспирация (НЕ нормированы): фильтрация 2×20 м²; аспирация 25–40 тыс. м³/ч [оценка КВАНТ по аналогам (Class 5)]</w:t>
      </w:r>
    </w:p>
    <w:p>
      <w:r>
        <w:rPr>
          <w:b/>
          <w:sz w:val="20"/>
        </w:rPr>
        <w:t xml:space="preserve">Воздуходувка, адиабата+КПД (осн.):  </w:t>
      </w:r>
      <w:r>
        <w:rPr>
          <w:sz w:val="20"/>
        </w:rPr>
        <w:t xml:space="preserve">π=2,04; P = 216 кВт вал (вспом. 409 кВт)</w:t>
      </w:r>
    </w:p>
    <w:p>
      <w:r>
        <w:rPr>
          <w:b/>
          <w:sz w:val="20"/>
        </w:rPr>
        <w:t xml:space="preserve">Вакуум-станция:  </w:t>
      </w:r>
      <w:r>
        <w:rPr>
          <w:sz w:val="20"/>
        </w:rPr>
        <w:t xml:space="preserve">60–90 кВт</w:t>
      </w:r>
    </w:p>
    <w:p>
      <w:r>
        <w:rPr>
          <w:b/>
          <w:sz w:val="20"/>
        </w:rPr>
        <w:t xml:space="preserve">Аспирация:  </w:t>
      </w:r>
      <w:r>
        <w:rPr>
          <w:sz w:val="20"/>
        </w:rPr>
        <w:t xml:space="preserve">45–75 кВт</w:t>
      </w:r>
    </w:p>
    <w:p>
      <w:r>
        <w:rPr>
          <w:b/>
          <w:sz w:val="20"/>
        </w:rPr>
        <w:t xml:space="preserve">Итого средняя нагрузка лота 1:  </w:t>
      </w:r>
      <w:r>
        <w:rPr>
          <w:sz w:val="20"/>
        </w:rPr>
        <w:t xml:space="preserve">625 + 351 ≈ 976 кВт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Дымосос: потребляемая (вспом., Δp 10 кПа) vs нормированная, кВт — ИД нормирует по УСТАНОВЛЕННОЙ мощности ДН-15БНЖ; наша оценка потребляемой 150–250 кВт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177,1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400,0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-55,74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Неучтённые в табл. 26 потребители (воздуходувка ≈216 кВт, вакуум, аспирация) добавляют ≈351 кВт средней нагрузки — годовое электропотребление лота 1 растёт с 4,95 до ≈7,6 млн кВт·ч (+54 %). Для ТУ и ТЭП это надо заложить сразу; установленная мощность лота 1 с резервом — ориентировочно 1,6–1,9 МВт.</w:t>
      </w:r>
    </w:p>
    <w:p/>
    <w:p>
      <w:pPr>
        <w:pStyle w:val="Heading2"/>
      </w:pPr>
      <w:r>
        <w:rPr>
          <w:b/>
          <w:sz w:val="26"/>
        </w:rPr>
        <w:t xml:space="preserve">L2-CU · Медь купоросного передела и стехиометрия пентагидрата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Фильтрат на кристаллизацию: 42,2 тыс. м³/год, Cu 102,9 кг/м³ [ТЗ п. 4.1] · Медный купорос: 14 139 т/год, Cu 25,7 % (сухой) [ТЗ п. 4.2; ИД ч.2 табл. 3.1] · Маточник на смешанный купорос: 11,81 тыс. м³/год, Cu 60 кг/м³ [ТЗ п. 4.1]</w:t>
      </w:r>
    </w:p>
    <w:p>
      <w:r>
        <w:rPr>
          <w:b/>
          <w:sz w:val="20"/>
        </w:rPr>
        <w:t xml:space="preserve">Cu входа:  </w:t>
      </w:r>
      <w:r>
        <w:rPr>
          <w:sz w:val="20"/>
        </w:rPr>
        <w:t xml:space="preserve">42 200 × 102,9 = 4 342,4 т/год</w:t>
      </w:r>
    </w:p>
    <w:p>
      <w:r>
        <w:rPr>
          <w:b/>
          <w:sz w:val="20"/>
        </w:rPr>
        <w:t xml:space="preserve">Cu в купорос:  </w:t>
      </w:r>
      <w:r>
        <w:rPr>
          <w:sz w:val="20"/>
        </w:rPr>
        <w:t xml:space="preserve">14 139 × 25,7 % = 3 633,7 т/год</w:t>
      </w:r>
    </w:p>
    <w:p>
      <w:r>
        <w:rPr>
          <w:b/>
          <w:sz w:val="20"/>
        </w:rPr>
        <w:t xml:space="preserve">Cu в маточник-1:  </w:t>
      </w:r>
      <w:r>
        <w:rPr>
          <w:sz w:val="20"/>
        </w:rPr>
        <w:t xml:space="preserve">11 810 × 60 = 708,6 т/год</w:t>
      </w:r>
    </w:p>
    <w:p>
      <w:r>
        <w:rPr>
          <w:b/>
          <w:sz w:val="20"/>
        </w:rPr>
        <w:t xml:space="preserve">Теоретический Cu в CuSO₄·5H₂O:  </w:t>
      </w:r>
      <w:r>
        <w:rPr>
          <w:sz w:val="20"/>
        </w:rPr>
        <w:t xml:space="preserve">63,546 / 249,69 = 25,45 %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Баланс меди: вход − купорос − маточник, т/год — невязка 0,1 % от входа — сходится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0,057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Cu в купоросе, % (заявлено vs теория пентагидрата) — 25,7 % ВЫШЕ теоретического максимума чистого CuSO₄·5H₂O (25,45 %)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25,7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25,4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+0,98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Массовый баланс меди сходится. Но заявленный состав купороса 25,7 % Cu превышает стехиометрический максимум пентагидрата (25,45 %): либо продукт частично обезвожен (примесь CuSO₄·H₂O/безводного ~1–2 %), либо базис состава иной. На гарантии качества продукта это влияет напрямую.</w:t>
      </w:r>
    </w:p>
    <w:p/>
    <w:p>
      <w:pPr>
        <w:pStyle w:val="Heading2"/>
      </w:pPr>
      <w:r>
        <w:rPr>
          <w:b/>
          <w:sz w:val="26"/>
        </w:rPr>
        <w:t xml:space="preserve">L2-NI · Баланс никеля купоросного передела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Ni входа с фильтратом: 42,2 тыс. м³ × 20,6 кг/м³ [ТЗ п. 4.1] · Ni продуктов: смешанный купорос 11,47 %, медный купорос 0,29 %, маточник-2 30,5 кг/м³ [ТЗ п. 4.2; ИД ч.2 п. 1.4.2.2]</w:t>
      </w:r>
    </w:p>
    <w:p>
      <w:r>
        <w:rPr>
          <w:b/>
          <w:sz w:val="20"/>
        </w:rPr>
        <w:t xml:space="preserve">Вход:  </w:t>
      </w:r>
      <w:r>
        <w:rPr>
          <w:sz w:val="20"/>
        </w:rPr>
        <w:t xml:space="preserve">869,3 т/год</w:t>
      </w:r>
    </w:p>
    <w:p>
      <w:r>
        <w:rPr>
          <w:b/>
          <w:sz w:val="20"/>
        </w:rPr>
        <w:t xml:space="preserve">Выход:  </w:t>
      </w:r>
      <w:r>
        <w:rPr>
          <w:sz w:val="20"/>
        </w:rPr>
        <w:t xml:space="preserve">763,7 (смеш.) + 54,9 (маточник-2) + 41,0 (медный) = 859,6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Невязка Ni, % входа — 9,7 т/год ≈ 1,1 % — в допуске округлений составов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1,12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Никель сводится с невязкой ~1 % — распределение по продуктам согласовано; смешанный купорос уносит 88 % никеля входа, что и требуется для вывода Ni из медного контура.</w:t>
      </w:r>
    </w:p>
    <w:p/>
    <w:p>
      <w:pPr>
        <w:pStyle w:val="Heading2"/>
      </w:pPr>
      <w:r>
        <w:rPr>
          <w:b/>
          <w:sz w:val="26"/>
        </w:rPr>
        <w:t xml:space="preserve">L2-EVAP · Выпарка: соотношение пар/испарённая вода (Лот №2)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Испарённая вода: 27–28 тыс. т/год (3,3–3,4 т/ч) [ИД ч.2 табл. 3.1; расчёт БИ] · Пар технологический: 36,3 тыс. т/год (глухой 3,0 + острый 1,36 т/ч) [ИД ч.2 рис. 4.4/4.5]</w:t>
      </w:r>
    </w:p>
    <w:p>
      <w:r>
        <w:rPr>
          <w:b/>
          <w:sz w:val="20"/>
        </w:rPr>
        <w:t xml:space="preserve">GOR (кг воды / кг пара):  </w:t>
      </w:r>
      <w:r>
        <w:rPr>
          <w:sz w:val="20"/>
        </w:rPr>
        <w:t xml:space="preserve">27 500 / 36 300 = 0,76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GOR вакуум-кристаллизации — паровое хозяйство согласовано с технологией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0,758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0,760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-0,32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Удельный расход пара соответствует одноступенчатой вакуум-кристаллизации; резерв экономии — механическая рекомпрессия пара (МВР), можно предложить Заказчику как опцию энергоэффективности.</w:t>
      </w:r>
    </w:p>
    <w:p/>
    <w:p>
      <w:pPr>
        <w:pStyle w:val="Heading2"/>
      </w:pPr>
      <w:r>
        <w:rPr>
          <w:b/>
          <w:sz w:val="26"/>
        </w:rPr>
        <w:t xml:space="preserve">L3-FARADEY · Электроэкстракция: закон Фарадея, ток, напряжение, мощность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Производительность: 8 066,1 кг/ч; 75 000 т/год номинал [ИД ч.2 табл. 4.2] · Ванны и катоды: 180 ванн (2×90); 84 матрицы/ванну ≈ 1,0×1,0 м [ИД ч.2 п. 4.2.2, п. 1.3.9] · Удельный расход: 1 942 кВт·ч/т (134 484 тыс. кВт·ч/год) [ИД ч.2 табл. 8.5] · Выход по току: η = 89 % (из ИД: 49,49 кг/ч при 47,04 кА; U_в = 2,05 В при w = 1 942 кВт·ч/т) [ИД ч.2 табл. 3.1/4.2 (задан неявно) — см. F-ETA]</w:t>
      </w:r>
    </w:p>
    <w:p>
      <w:r>
        <w:rPr>
          <w:b/>
          <w:sz w:val="20"/>
        </w:rPr>
        <w:t xml:space="preserve">Электрохимический эквивалент:  </w:t>
      </w:r>
      <w:r>
        <w:rPr>
          <w:sz w:val="20"/>
        </w:rPr>
        <w:t xml:space="preserve">63,546 / (2 × 96 485) × 3600 = 1,1856 г/(А·ч)</w:t>
      </w:r>
    </w:p>
    <w:p>
      <w:r>
        <w:rPr>
          <w:b/>
          <w:sz w:val="20"/>
        </w:rPr>
        <w:t xml:space="preserve">Ток ванны:  </w:t>
      </w:r>
      <w:r>
        <w:rPr>
          <w:sz w:val="20"/>
        </w:rPr>
        <w:t xml:space="preserve">8 066 100 / 180 / (1,1856 × 0,89) ≈ 42 450 А (42,45 кА)</w:t>
      </w:r>
    </w:p>
    <w:p>
      <w:r>
        <w:rPr>
          <w:b/>
          <w:sz w:val="20"/>
        </w:rPr>
        <w:t xml:space="preserve">Катодная плотность тока:  </w:t>
      </w:r>
      <w:r>
        <w:rPr>
          <w:sz w:val="20"/>
        </w:rPr>
        <w:t xml:space="preserve">42 450 / (84 × 2 × 1,0 м²) = 252,7 А/м²</w:t>
      </w:r>
    </w:p>
    <w:p>
      <w:r>
        <w:rPr>
          <w:b/>
          <w:sz w:val="20"/>
        </w:rPr>
        <w:t xml:space="preserve">Напряжение ванны из удельного расхода:  </w:t>
      </w:r>
      <w:r>
        <w:rPr>
          <w:sz w:val="20"/>
        </w:rPr>
        <w:t xml:space="preserve">1 942 × 1,1856·10⁻³ × 0,89 = 2,05 В</w:t>
      </w:r>
    </w:p>
    <w:p>
      <w:r>
        <w:rPr>
          <w:b/>
          <w:sz w:val="20"/>
        </w:rPr>
        <w:t xml:space="preserve">Мощность серий:  </w:t>
      </w:r>
      <w:r>
        <w:rPr>
          <w:sz w:val="20"/>
        </w:rPr>
        <w:t xml:space="preserve">134 484 / 8 584,8 = 15,67 МВт (ср.); ток из мощности: ≈42 450 А</w:t>
      </w:r>
    </w:p>
    <w:p>
      <w:r>
        <w:rPr>
          <w:b/>
          <w:sz w:val="20"/>
        </w:rPr>
        <w:t xml:space="preserve">Проверка «280 А/м²»:  </w:t>
      </w:r>
      <w:r>
        <w:rPr>
          <w:sz w:val="20"/>
        </w:rPr>
        <w:t xml:space="preserve">280 А/м² × 168 м² × 180 ванн × 1,1856 × 0,89 × 8 584,8 ч → 76,7 тыс.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Ток ванны: Фарадей vs мощность/напряжение, А — два независимых пути дают один ток серии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42 450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42 454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Максимум при 280 А/м², тыс. т/год — при η = 89 % и фонде 8 584,8 ч — совпадение с ИД табл. 4.2 точное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Напряжение ванны, В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-2,42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Электрохимия самосогласована при η = 89 %, заданном в ИД неявно (49,49 кг/ч при 47,04 кА; U_в = 2,05 В при w = 1 942 кВт·ч/т): ток ванны ≈42,45 кА (плотность 252,7 А/м²), напряжение 2,05 В, мощность выпрямления ≈15,7 МВт (ср.). Проверка при 280 А/м² и фонде 8 584,8 ч даёт 76,7 тыс. т/год — точное совпадение с ИД табл. 4.2. Подтверждение η запросить у Гипроникеля (F-ETA).</w:t>
      </w:r>
    </w:p>
    <w:p/>
    <w:p>
      <w:pPr>
        <w:pStyle w:val="Heading2"/>
      </w:pPr>
      <w:r>
        <w:rPr>
          <w:b/>
          <w:sz w:val="26"/>
        </w:rPr>
        <w:t xml:space="preserve">L3-MIX · Контур растворов: смешение и съём меди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Богатый фильтрат: 102,9 кг/м³ Cu; отсечка в контур 124,7 м³/ч [ТЗ п. 4.1; ИД ч.2 табл. 3.1] · Оборотный (бедный): 35 кг/м³ Cu [ТЗ п. 5.1] · Питание ванн: 40 кг/м³ (съём 5 кг/м³); поток 1 600–1 650 м³/ч [ИД ч.2 табл. 3.1]</w:t>
      </w:r>
    </w:p>
    <w:p>
      <w:r>
        <w:rPr>
          <w:b/>
          <w:sz w:val="20"/>
        </w:rPr>
        <w:t xml:space="preserve">Поток питания из уравнения смешения:  </w:t>
      </w:r>
      <w:r>
        <w:rPr>
          <w:sz w:val="20"/>
        </w:rPr>
        <w:t xml:space="preserve">124,7 × (102,9 − 35) / (40 − 35) = 1 693 м³/ч</w:t>
      </w:r>
    </w:p>
    <w:p>
      <w:r>
        <w:rPr>
          <w:b/>
          <w:sz w:val="20"/>
        </w:rPr>
        <w:t xml:space="preserve">Медь съёмом:  </w:t>
      </w:r>
      <w:r>
        <w:rPr>
          <w:sz w:val="20"/>
        </w:rPr>
        <w:t xml:space="preserve">5,0 × 1 634,5 × 8 584,8 ч = 70 159 т/год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Поток питания серий, м³/ч — сходится в середину диапазона с учётом подпитки купоросным раствором 3,2–3,5 м³/ч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1 693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1 625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+4,21</w:t>
            </w:r>
          </w:p>
        </w:tc>
        <w:tc>
          <w:tcPr>
            <w:tcW w:w="1538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Производительность по съёму, т/год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70 159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69 250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+1,31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Гидравлика контура и электрохимия согласованы: уравнение смешения независимо воспроизводит поток питания 1,6–1,65 тыс. м³/ч, съём 5 кг/м³ — расчётную производительность. Подтверждаем правильность выбора 180 ванн (163 расчётно × 1,10 = 179,3).</w:t>
      </w:r>
    </w:p>
    <w:p/>
    <w:p>
      <w:pPr>
        <w:pStyle w:val="Heading2"/>
      </w:pPr>
      <w:r>
        <w:rPr>
          <w:b/>
          <w:sz w:val="26"/>
        </w:rPr>
        <w:t xml:space="preserve">L4-PACK · Потоки склада готовой продукции (Лот №4)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Производительность: 75 000 т/год; пакет 2 500 ± 50 кг [ТЗ; ИД п. 1.3.11] · Режим: 358 сут/год; полувагон 27 пакетов (67,5 т) [ТЗ п. 5.3; расчёт БИ]</w:t>
      </w:r>
    </w:p>
    <w:p>
      <w:r>
        <w:rPr>
          <w:b/>
          <w:sz w:val="20"/>
        </w:rPr>
        <w:t xml:space="preserve">Пакетов в год / в сутки:  </w:t>
      </w:r>
      <w:r>
        <w:rPr>
          <w:sz w:val="20"/>
        </w:rPr>
        <w:t xml:space="preserve">75 000 / 2,5 = 30 000; 83,8/сут</w:t>
      </w:r>
    </w:p>
    <w:p>
      <w:r>
        <w:rPr>
          <w:b/>
          <w:sz w:val="20"/>
        </w:rPr>
        <w:t xml:space="preserve">Отгрузка:  </w:t>
      </w:r>
      <w:r>
        <w:rPr>
          <w:sz w:val="20"/>
        </w:rPr>
        <w:t xml:space="preserve">3,1 полувагона/сут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Пакетов в сутки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83,8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84,0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-0,24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Полувагонов в сутки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+0,12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Потоки склада подтверждены; буфер 3 000 т покрывает 14,3 суток отгрузки — устойчив к недельным сбоям подачи вагонов.</w:t>
      </w:r>
    </w:p>
    <w:p/>
    <w:p>
      <w:pPr>
        <w:pStyle w:val="Heading2"/>
      </w:pPr>
      <w:r>
        <w:rPr>
          <w:b/>
          <w:sz w:val="26"/>
        </w:rPr>
        <w:t xml:space="preserve">NB-EW · Новый корпус электроэкстракции: компоновка расчётом (сценарий «новое строительство») (Лот №3)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Базис размещения: новое строительство на свободной территории (вводная владельца 15.08.2026, подтверждена ТЗ v4.1 п.1.3 от 25.08.2026) [ТЗ v4.1 п.1.3; остаточное противоречие внутри v4.1 — см. F-BUILD] · Ванны: 180 шт. (2 серии × 90, ряды по 45); 84 катода/ванну, шаг 95 мм (прил. В ДЕЛЬТА) [ИД ч.2 п. 4.2.2, п. 1.3.9; прил. В] · Кран и отметки: мостовые краны над ваннами; подъём матрицы ≈1,3 м + траверса [практика tankhouse; ИД ч.2 (КСМ)]</w:t>
      </w:r>
    </w:p>
    <w:p>
      <w:r>
        <w:rPr>
          <w:b/>
          <w:sz w:val="20"/>
        </w:rPr>
        <w:t xml:space="preserve">Ванна в плане:  </w:t>
      </w:r>
      <w:r>
        <w:rPr>
          <w:sz w:val="20"/>
        </w:rPr>
        <w:t xml:space="preserve">8,645 × 1,315 м (ДЕЛЬТА, прил. В)</w:t>
      </w:r>
    </w:p>
    <w:p>
      <w:r>
        <w:rPr>
          <w:b/>
          <w:sz w:val="20"/>
        </w:rPr>
        <w:t xml:space="preserve">Ряд из 45 ванн:  </w:t>
      </w:r>
      <w:r>
        <w:rPr>
          <w:sz w:val="20"/>
        </w:rPr>
        <w:t xml:space="preserve">44 × 1,40 + 1,32 = 62,9 м ≈ 63 м</w:t>
      </w:r>
    </w:p>
    <w:p>
      <w:r>
        <w:rPr>
          <w:b/>
          <w:sz w:val="20"/>
        </w:rPr>
        <w:t xml:space="preserve">Корпус:  </w:t>
      </w:r>
      <w:r>
        <w:rPr>
          <w:sz w:val="20"/>
        </w:rPr>
        <w:t xml:space="preserve">36 × 190 × 17 м (2 пролёта по 18 м; 2 серии последовательно: 2 × 63 + КСМ 30 + ремзона 20 = 176 м &lt; 190 м — увеличенный резерв)</w:t>
      </w:r>
    </w:p>
    <w:p>
      <w:r>
        <w:rPr>
          <w:b/>
          <w:sz w:val="20"/>
        </w:rPr>
        <w:t xml:space="preserve">Объёмы:  </w:t>
      </w:r>
      <w:r>
        <w:rPr>
          <w:sz w:val="20"/>
        </w:rPr>
        <w:t xml:space="preserve">корпус ЭЭ 116 + электролитное 12 + купорос 16 + склад ГП 32 = 177 тыс. м³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Длина корпуса vs существующий ЦЭМ (186 м), м — новый корпус того же порядка — компоновочная логика ИД сохраняется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189,5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186,0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+1,88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Кубатура ЭЭ на тонну мощности, м³/т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1,71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1,90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-10,13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Новый корпус ЭЭ 36 × 190 м с высотой до низа ферм ~16 м вмещает 180 ванн в две последовательные серии с зоной КСМ и ремзоной — газоочистка, аспирация и электролитное отделение в пристрое. Посадка на генплан, привязка к сетям и полные строительные нагрузки нового корпуса — добавляются в состав БИ (сценарий «новое строительство»).</w:t>
      </w:r>
    </w:p>
    <w:p/>
    <w:p>
      <w:pPr>
        <w:pStyle w:val="Heading2"/>
      </w:pPr>
      <w:r>
        <w:rPr>
          <w:b/>
          <w:sz w:val="26"/>
        </w:rPr>
        <w:t xml:space="preserve">NB-COST · Стоимость нового строительства (замена «реконструкции существующих»)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Объёмы NB-EW: ЭЭ+электролитное 128 тыс. м³; купорос 16; склад 32 [расчёт NB-EW] · Удельники: 45–65 тыс. ₽/м³ (промкаркас, V снеговой район, сети в здании); ЭЭ ×1,15 (кислотостойкие полы и фундаменты ванн); склад 40 [оценка КВАНТ Class 5 по аналогам 2025–2026]</w:t>
      </w:r>
    </w:p>
    <w:p>
      <w:r>
        <w:rPr>
          <w:b/>
          <w:sz w:val="20"/>
        </w:rPr>
        <w:t xml:space="preserve">Корпус ЭЭ с электролитным:  </w:t>
      </w:r>
      <w:r>
        <w:rPr>
          <w:sz w:val="20"/>
        </w:rPr>
        <w:t xml:space="preserve">6,6–9,6 млрд ₽ (середина 8,1)</w:t>
      </w:r>
    </w:p>
    <w:p>
      <w:r>
        <w:rPr>
          <w:b/>
          <w:sz w:val="20"/>
        </w:rPr>
        <w:t xml:space="preserve">Купорос / склад ГП:  </w:t>
      </w:r>
      <w:r>
        <w:rPr>
          <w:sz w:val="20"/>
        </w:rPr>
        <w:t xml:space="preserve">0,9 / 1,3 млрд ₽</w:t>
      </w:r>
    </w:p>
    <w:p>
      <w:r>
        <w:rPr>
          <w:b/>
          <w:sz w:val="20"/>
        </w:rPr>
        <w:t xml:space="preserve">Итого новые здания лотов 2–4:  </w:t>
      </w:r>
      <w:r>
        <w:rPr>
          <w:sz w:val="20"/>
        </w:rPr>
        <w:t xml:space="preserve">≈10,3 млрд ₽ (≈$114 млн при 90 ₽/$)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Дельта к прежней строке «реконструкция» ($18M base), млн $ — смена базиса добавляет к CAPEX ~$70–100 млн; базис подтверждён ТЗ v4.1 п.1.3, деньги в CAPEX заложены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114,3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18,0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+534,78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Новое строительство вместо приспособления существующих зданий добавляет к CAPEX ≈10,3 млрд ₽ (сверх корпуса обжига, который и в ТЗ был новым) и ~18–24 месяца строительного цикла. Строка CAPEX «реконструкция ЦЭМ/ГМУ» заменена на три строки нового строительства — см. вкладку «Стройка · CAPEX».</w:t>
      </w:r>
    </w:p>
    <w:p/>
    <w:p>
      <w:pPr>
        <w:pStyle w:val="Heading2"/>
      </w:pPr>
      <w:r>
        <w:rPr>
          <w:b/>
          <w:sz w:val="26"/>
        </w:rPr>
        <w:t xml:space="preserve">EL-TOTAL · Сводная электрическая нагрузка комплекса (для ТУ)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Составляющие: Лот 1 (обжиг): ср, 0,98 МВт; Лот 2 (купорос): ср, 0,19 МВт; Лот 3 (ЭЭ: выпрямление + вспом,): ср, 16,07 МВт; Лот 4 (склад): ср, 0,08 МВт [ИД табл. 26, табл. 8.5 + досчёты КВАНТ (L1-EL, L3-FARADEY)]</w:t>
      </w:r>
    </w:p>
    <w:p>
      <w:r>
        <w:rPr>
          <w:b/>
          <w:sz w:val="20"/>
        </w:rPr>
        <w:t xml:space="preserve">Средняя нагрузка комплекса:  </w:t>
      </w:r>
      <w:r>
        <w:rPr>
          <w:sz w:val="20"/>
        </w:rPr>
        <w:t xml:space="preserve">17,3 МВт</w:t>
      </w:r>
    </w:p>
    <w:p>
      <w:r>
        <w:rPr>
          <w:b/>
          <w:sz w:val="20"/>
        </w:rPr>
        <w:t xml:space="preserve">Установленная (оценка с резервами):  </w:t>
      </w:r>
      <w:r>
        <w:rPr>
          <w:sz w:val="20"/>
        </w:rPr>
        <w:t xml:space="preserve">≈21 МВт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Средняя нагрузка, МВт — для запроса ТУ у сетевой организации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17,3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17,0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+1,83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Для запроса ТУ: средняя нагрузка ≈17.3 МВт, установленная ≈21 МВт, доминанта — выпрямители электроэкстракции (I категория надёжности; окно отключений ≤ 2 ч из-за пассивации анодов). Разбивку по категориям ПУЭ выдаём в составе БИ (D-ТУ, позиция E-04).</w:t>
      </w:r>
    </w:p>
    <w:p/>
    <w:p>
      <w:pPr>
        <w:pStyle w:val="Heading2"/>
      </w:pPr>
      <w:r>
        <w:rPr>
          <w:b/>
          <w:sz w:val="26"/>
        </w:rPr>
        <w:t xml:space="preserve">IO-TOTAL · Укрупнённый объём сигналов АСУТП (для выбора контроллеров)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База: перечень оборудования БИ (70 позиций) × типовые наборы сигналов на агрегат/контур + 30 % запас (Прил.5) [equipment.json; Прил. №5 (запас модулей ввода/вывода ≥30 %)]</w:t>
      </w:r>
    </w:p>
    <w:p>
      <w:r>
        <w:rPr>
          <w:b/>
          <w:sz w:val="20"/>
        </w:rPr>
        <w:t xml:space="preserve">По лотам:  </w:t>
      </w:r>
      <w:r>
        <w:rPr>
          <w:sz w:val="20"/>
        </w:rPr>
        <w:t xml:space="preserve">Лот 1: 700–1000; Лот 2: 350–500; Лот 3: 450–650; Лот 4: 200–300</w:t>
      </w:r>
    </w:p>
    <w:p>
      <w:r>
        <w:rPr>
          <w:b/>
          <w:sz w:val="20"/>
        </w:rPr>
        <w:t xml:space="preserve">Итого по комплексу:  </w:t>
      </w:r>
      <w:r>
        <w:rPr>
          <w:sz w:val="20"/>
        </w:rPr>
        <w:t xml:space="preserve">1700–2450 физических сигналов (с запасом 30 %)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Порядок величины I/O — 8–12 крейтов REGUL RX00; уточняется перечнями сигналов на детальном этапе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2 075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2 000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+3,75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Порядок 1,7–2,4 тыс. сигналов задаёт состав КТС (контроллеры, станции в/в, серверы SCADA) и бюджет АСУ в Class 3 оценке. Детальный I/O list — этап ДИ (позиция A-10 вкладки «Состав БИ»).</w:t>
      </w:r>
    </w:p>
    <w:p/>
    <w:p>
      <w:pPr>
        <w:pStyle w:val="Heading2"/>
      </w:pPr>
      <w:r>
        <w:rPr>
          <w:b/>
          <w:sz w:val="26"/>
        </w:rPr>
        <w:t xml:space="preserve">X-CU · Сквозной баланс меди: сырьё лота 1 → катодная медь лота 3 (Комплекс)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Приход Cu в шихту: 71 264,3 т/год (наш L1-MET) [расчёт КВАНТ по ИД табл. 22] · Уходы мимо катода: потери 0,47 % · смешанный купорос (9,79 % Cu → NNH) · маточник-2 (в ЦЭН) [ИД табл. 22; ТЗ п. 4.2; ИД ч.2 п. 1.4.2.2] · Расчётная катодная ИД ч.2: 8 066,1 кг/ч × 8 584,8 ч = 69 246 т/год [ИД ч.2 табл. 4.2]</w:t>
      </w:r>
    </w:p>
    <w:p>
      <w:r>
        <w:rPr>
          <w:b/>
          <w:sz w:val="20"/>
        </w:rPr>
        <w:t xml:space="preserve">Доступно к катоду:  </w:t>
      </w:r>
      <w:r>
        <w:rPr>
          <w:sz w:val="20"/>
        </w:rPr>
        <w:t xml:space="preserve">71 264,3 − 334,7 − 651,8 − 26,1 = 70 251,7 т/год</w:t>
      </w:r>
    </w:p>
    <w:p>
      <w:r>
        <w:rPr>
          <w:b/>
          <w:sz w:val="20"/>
        </w:rPr>
        <w:t xml:space="preserve">Дефицит к «75 000 т/год»:  </w:t>
      </w:r>
      <w:r>
        <w:rPr>
          <w:sz w:val="20"/>
        </w:rPr>
        <w:t xml:space="preserve">75 000 − 70 251,7 = 4 748,3 т (6,3 %)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Доступная медь vs расчётная катодная ИД ч.2, т/год — остаток 1,45 % — потери ГМЦ 0,10 % и оборотная незавершёнка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70 252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69 246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+1,45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Обеспеченность «75 000 т/год» сырьём, % — сырьё ИД покрывает ≈93,7 % заявленной мощности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93,7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100,0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-6,33</w:t>
            </w:r>
          </w:p>
        </w:tc>
        <w:tc>
          <w:tcPr>
            <w:tcW w:w="1538" w:type="dxa"/>
          </w:tcPr>
          <w:p>
            <w:r>
              <w:rPr>
                <w:b/>
                <w:color w:val="B22222"/>
                <w:sz w:val="19"/>
              </w:rPr>
              <w:t xml:space="preserve">ВОПРОС</w:t>
            </w:r>
          </w:p>
        </w:tc>
      </w:tr>
    </w:tbl>
    <w:p>
      <w:r>
        <w:rPr>
          <w:b/>
        </w:rPr>
        <w:t xml:space="preserve">Вывод: </w:t>
      </w:r>
      <w:r>
        <w:t xml:space="preserve">Сквозной баланс замыкается на расчётную производительность ИД ч.2 (69,25 тыс. т) с невязкой 1,45 % — данные согласованы. Но заявленные «75 000 т/год» — это МОЩНОСТЬ оборудования (280 А/м² → 76,7 тыс. т), а не выпуск: заявленное сырьё обеспечивает ~69–70 тыс. т катодной меди. В гарантиях это обязательно разделить, иначе с нас спросят 75 000 при сырье на 69.</w:t>
      </w:r>
    </w:p>
    <w:p/>
    <w:p>
      <w:pPr>
        <w:pStyle w:val="Heading2"/>
      </w:pPr>
      <w:r>
        <w:rPr>
          <w:b/>
          <w:sz w:val="26"/>
        </w:rPr>
        <w:t xml:space="preserve">L1-DEW · Кислотная точка росы газов (коррозионная граница тракта)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Состав газа на СКЦ (осн./вспом.): H₂O 19,27/13,26 %; SO₃ 0,718/0,437 % [ИД табл. 23 п.400–403] · Метод: корреляция Verhoff–Banchero (H₂SO₄-точка росы по парциальным давлениям) [справочная корреляция]</w:t>
      </w:r>
    </w:p>
    <w:p>
      <w:r>
        <w:rPr>
          <w:b/>
          <w:sz w:val="20"/>
        </w:rPr>
        <w:t xml:space="preserve">Точка росы, основной вариант:  </w:t>
      </w:r>
      <w:r>
        <w:rPr>
          <w:sz w:val="20"/>
        </w:rPr>
        <w:t xml:space="preserve">221 °C</w:t>
      </w:r>
    </w:p>
    <w:p>
      <w:r>
        <w:rPr>
          <w:b/>
          <w:sz w:val="20"/>
        </w:rPr>
        <w:t xml:space="preserve">Точка росы, вспомогательный:  </w:t>
      </w:r>
      <w:r>
        <w:rPr>
          <w:sz w:val="20"/>
        </w:rPr>
        <w:t xml:space="preserve">209 °C</w:t>
      </w:r>
    </w:p>
    <w:p>
      <w:r>
        <w:rPr>
          <w:b/>
          <w:sz w:val="20"/>
        </w:rPr>
        <w:t xml:space="preserve">Запас тракта при 387 °C:  </w:t>
      </w:r>
      <w:r>
        <w:rPr>
          <w:sz w:val="20"/>
        </w:rPr>
        <w:t xml:space="preserve">166 °C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Запас газа над точкой росы, °C — в потоке запас большой; риск — холодные стенки и остановки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166,4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150,0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+10,92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Точка росы H₂SO₄ ≈ 221 °C (осн.) — в номинале тракт сухой, но конденсация начнётся на любой стенке холоднее ≈221 °C: требования БИ — минимальная температура стенок газоходов/бункеров ЭФ ≥ 240 °C (изоляция, обогрев холодных мостов), продувка тракта при остановках, кислотостойкое исполнение узлов подсосов. За коррозию тракта спросят на межремонтном пробеге.</w:t>
      </w:r>
    </w:p>
    <w:p/>
    <w:p>
      <w:pPr>
        <w:pStyle w:val="Heading2"/>
      </w:pPr>
      <w:r>
        <w:rPr>
          <w:b/>
          <w:sz w:val="26"/>
        </w:rPr>
        <w:t xml:space="preserve">L1-BED · Печь КС: проверка фактической геометрии HATCH нашей моделью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Геометрия печи (ИД ч.1, стр. 417–418): конус 21°: Ø6000 подина → Ø8390 газоход; высота конуса 6 450; решётка 583 сопла [ИД ч.1 разд. 2.3 (конструкция HATCH)] · Время пребывания / огарок: 9 ч при 930 °C; 10,34 т/ч номинал [ИД разд. 2.3; табл. 22/23] · Плотность псевдоожиженного слоя: ≈1,3 т/м³ (вспученное состояние) [оценка КВАНТ]</w:t>
      </w:r>
    </w:p>
    <w:p>
      <w:r>
        <w:rPr>
          <w:b/>
          <w:sz w:val="20"/>
        </w:rPr>
        <w:t xml:space="preserve">Масса и объём слоя:  </w:t>
      </w:r>
      <w:r>
        <w:rPr>
          <w:sz w:val="20"/>
        </w:rPr>
        <w:t xml:space="preserve">10,34 × 9 = 93,1 т → 71,6 м³</w:t>
      </w:r>
    </w:p>
    <w:p>
      <w:r>
        <w:rPr>
          <w:b/>
          <w:sz w:val="20"/>
        </w:rPr>
        <w:t xml:space="preserve">Высота слоя в конусе (решение V(h)):  </w:t>
      </w:r>
      <w:r>
        <w:rPr>
          <w:sz w:val="20"/>
        </w:rPr>
        <w:t xml:space="preserve">h ≈ 1,98 м; зеркало слоя Ø 7,5 м (44 м²)</w:t>
      </w:r>
    </w:p>
    <w:p>
      <w:r>
        <w:rPr>
          <w:b/>
          <w:sz w:val="20"/>
        </w:rPr>
        <w:t xml:space="preserve">Напряжённость по зеркалу слоя:  </w:t>
      </w:r>
      <w:r>
        <w:rPr>
          <w:sz w:val="20"/>
        </w:rPr>
        <w:t xml:space="preserve">324 т/сут ÷ 44 м² = 7,3 т/(м²·сут)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Высота слоя, м — 9-часовое пребывание в конусной печи даёт слой ~2 м — реалистично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1,98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-0,75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Напряжённость по зеркалу слоя, т/(м²·сут) — конусная форма (Ø6→8,39 м) выводит напряжённость в норму — по подине была бы 11,5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7,29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+4,08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Фактическая геометрия печи HATCH проходит независимую проверку: слой ~2 м, зеркало Ø7,5 м, напряжённость 7,3 т/(м²·сут) — в мировом диапазоне. Конус 21° одновременно решает сепарацию (скорость газа падает к газоходу) — see L1-FLUID. Геометрия передана в CFD-кейс взамен нашей цилиндрической оценки.</w:t>
      </w:r>
    </w:p>
    <w:p/>
    <w:p>
      <w:pPr>
        <w:pStyle w:val="Heading2"/>
      </w:pPr>
      <w:r>
        <w:rPr>
          <w:b/>
          <w:sz w:val="26"/>
        </w:rPr>
        <w:t xml:space="preserve">L1-FLUID · Гидродинамика слоя КС (пред-CFD): скорости и механизм уноса (Лот №1)</w:t>
      </w:r>
    </w:p>
    <w:p>
      <w:r>
        <w:rPr>
          <w:b/>
        </w:rPr>
        <w:t xml:space="preserve">Входные данные: </w:t>
      </w:r>
      <w:r>
        <w:rPr>
          <w:sz w:val="19"/>
        </w:rPr>
        <w:t xml:space="preserve">Частицы: огарок 449 мкм (слой), концентрат 25,5 мкм (свежая шихта); ρ ≈ 5 300 кг/м³ (оценка) [ИД табл. 23 (крупности); оценка КВАНТ] · Газ в слое: 930 °C; ρ = 0,304 кг/м³; μ = 4,6·10⁻⁵ Па·с [справочные свойства] · Сечения конусной печи: подина 28 м² → зеркало слоя 44 м² → газоход 55 м² [ИД ч.1 стр. 417 (геометрия HATCH)]</w:t>
      </w:r>
    </w:p>
    <w:p>
      <w:r>
        <w:rPr>
          <w:b/>
          <w:sz w:val="20"/>
        </w:rPr>
        <w:t xml:space="preserve">Критерий Архимеда:  </w:t>
      </w:r>
      <w:r>
        <w:rPr>
          <w:sz w:val="20"/>
        </w:rPr>
        <w:t xml:space="preserve">Ar = 676</w:t>
      </w:r>
    </w:p>
    <w:p>
      <w:r>
        <w:rPr>
          <w:b/>
          <w:sz w:val="20"/>
        </w:rPr>
        <w:t xml:space="preserve">Мин. скорость псевдоожижения (Wen–Yu):  </w:t>
      </w:r>
      <w:r>
        <w:rPr>
          <w:sz w:val="20"/>
        </w:rPr>
        <w:t xml:space="preserve">u_mf = 0,137 м/с</w:t>
      </w:r>
    </w:p>
    <w:p>
      <w:r>
        <w:rPr>
          <w:b/>
          <w:sz w:val="20"/>
        </w:rPr>
        <w:t xml:space="preserve">Скорость газа по высоте конуса:  </w:t>
      </w:r>
      <w:r>
        <w:rPr>
          <w:sz w:val="20"/>
        </w:rPr>
        <w:t xml:space="preserve">подина 0,46 → зеркало 0,29 → газоход 0,23 м/с</w:t>
      </w:r>
    </w:p>
    <w:p>
      <w:r>
        <w:rPr>
          <w:b/>
          <w:sz w:val="20"/>
        </w:rPr>
        <w:t xml:space="preserve">Терминальные скорости:  </w:t>
      </w:r>
      <w:r>
        <w:rPr>
          <w:sz w:val="20"/>
        </w:rPr>
        <w:t xml:space="preserve">концентрат 25,5 мкм: 0,041 м/с; огарок 449 мкм: 6,1 м/с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000"/>
        <w:gridCol w:w="1500"/>
        <w:gridCol w:w="1500"/>
        <w:gridCol w:w="1100"/>
        <w:gridCol w:w="1538"/>
      </w:tblGrid>
      <w:tr>
        <w:tc>
          <w:tcPr>
            <w:tcW w:w="40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Наш расчёт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38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Число псевдоожижения на зеркале слоя u/u_mf — у подины 3,3 (энергичное кипение), к зеркалу 2,1 — конус гасит скорость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2,12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+5,85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4000" w:type="dxa"/>
          </w:tcPr>
          <w:p>
            <w:r>
              <w:rPr>
                <w:sz w:val="19"/>
              </w:rPr>
              <w:t xml:space="preserve">Вынос мелкой фракции: u/u_t(25,5 мкм) — свежая шихта выносится, пока не укрупнится в слое — механизм пылевыноса 19–29 % подтверждён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7,14</w:t>
            </w:r>
          </w:p>
        </w:tc>
        <w:tc>
          <w:tcPr>
            <w:tcW w:w="150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100" w:type="dxa"/>
          </w:tcPr>
          <w:p>
            <w:r>
              <w:rPr>
                <w:sz w:val="19"/>
              </w:rPr>
              <w:t xml:space="preserve">+42,87</w:t>
            </w:r>
          </w:p>
        </w:tc>
        <w:tc>
          <w:tcPr>
            <w:tcW w:w="1538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Конус работает как встроенный сепаратор: скорость газа падает от 0,46 м/с у подины до 0,23 м/с у газохода — крупный огарок (u_t ≈ 6 м/с) остаётся в слое, свежий концентрат 25,5 мкм (u_t ≈ 0,04 м/с) выносится до укрупнения — физика пылевыноса 19/29 % подтверждена на фактической геометрии HATCH. Точную карту слоя даст CFD (кейс обновлён конусной геометрией).</w:t>
      </w:r>
    </w:p>
    <w:p/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raschet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