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Катодные матрицы нержавеющие, ≈15 120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Система SPLIT; масса катода 76,8 кг (6 сут) / 89,7 кг (7 сут); годовой расход замещения 1150 шт..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Stainless-steel permanent cathode blanks, approx. 15,120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ОВЭ75-RFQ-15 / To RFQ No. OVE75-RFQ-15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Катодные матрицы нержавеющие, ≈15 120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Система SPLIT; масса катода 76,8 кг (6 сут) / 89,7 кг (7 сут); годовой расход замещения 1150 шт.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Совместимость с выбранной КСМ; требование сбыта — разделение двух пластин без сращивания по нижней кромке</w:t>
            </w:r>
          </w:p>
        </w:tc>
      </w:tr>
    </w:tbl>
    <w:p>
      <w:r>
        <w:rPr>
          <w:b/>
          <w:sz w:val="20"/>
        </w:rPr>
        <w:t xml:space="preserve">Состав позиции по перечню оборудования — Equipment covered by this request:</w:t>
      </w:r>
    </w:p>
    <w:p>
      <w:r>
        <w:rPr>
          <w:b/>
          <w:sz w:val="21"/>
        </w:rPr>
        <w:t xml:space="preserve">1. Катодные матрицы (постоянные катоды)</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Система SPLIT</w:t>
            </w:r>
          </w:p>
        </w:tc>
      </w:tr>
      <w:tr>
        <w:tc>
          <w:tcPr>
            <w:tcW w:w="3038" w:type="dxa"/>
            <w:shd w:val="clear" w:fill="EFEFEF"/>
          </w:tcPr>
          <w:p>
            <w:r>
              <w:rPr>
                <w:b/>
                <w:sz w:val="18"/>
              </w:rPr>
              <w:t xml:space="preserve">Назначение — Duty</w:t>
            </w:r>
          </w:p>
        </w:tc>
        <w:tc>
          <w:tcPr>
            <w:tcW w:w="6600" w:type="dxa"/>
          </w:tcPr>
          <w:p>
            <w:r>
              <w:rPr>
                <w:sz w:val="18"/>
              </w:rPr>
              <w:t xml:space="preserve">Матрицы для наращивания катодной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84 катода на ванну; расход 1150 шт./год (0,017 шт. на т Cu); масса катода 76,8 кг (6 сут) / 89,7 кг (7 сут) без массы матрицы</w:t>
            </w:r>
          </w:p>
        </w:tc>
      </w:tr>
      <w:tr>
        <w:tc>
          <w:tcPr>
            <w:tcW w:w="3038" w:type="dxa"/>
            <w:shd w:val="clear" w:fill="EFEFEF"/>
          </w:tcPr>
          <w:p>
            <w:r>
              <w:rPr>
                <w:b/>
                <w:sz w:val="18"/>
              </w:rPr>
              <w:t xml:space="preserve">Количество — Quantity</w:t>
            </w:r>
          </w:p>
        </w:tc>
        <w:tc>
          <w:tcPr>
            <w:tcW w:w="6600" w:type="dxa"/>
          </w:tcPr>
          <w:p>
            <w:r>
              <w:rPr>
                <w:sz w:val="18"/>
              </w:rPr>
              <w:t xml:space="preserve">180 × 84 = 15 120 шт. первичная загрузка (расчётно)</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15 cathode</dc:title>
  <dc:creator>ООО «КВАНТ»</dc:creator>
  <cp:lastModifiedBy>ООО «КВАНТ»</cp:lastModifiedBy>
  <dcterms:created xsi:type="dcterms:W3CDTF">2026-08-27T09:00:00Z</dcterms:created>
  <dcterms:modified xsi:type="dcterms:W3CDTF">2026-08-27T09:00:00Z</dcterms:modified>
</cp:coreProperties>
</file>