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ОЛ-ОВЭ75-11</w:t>
      </w:r>
    </w:p>
    <w:p>
      <w:r>
        <w:rPr>
          <w:b/>
          <w:sz w:val="28"/>
        </w:rPr>
        <w:t xml:space="preserve">Кран мостовой специальный (автоматический)</w:t>
      </w:r>
    </w:p>
    <w:p>
      <w:r>
        <w:rPr>
          <w:color w:val="666666"/>
          <w:sz w:val="18"/>
        </w:rPr>
        <w:t xml:space="preserve">Лот №3 · Электроэкстракция · участок: Подъёмно-транспортное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 (по одному на серию/пролёт)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 / модернизация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Съём/установка колпаков, выгрузка катодов (1/3 ванны с равномерным шагом), транспортировка в КСМ и обратно, пошаговая установка матриц; ручной режим — замена анодов и чистка ванн от шлама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(по одному на серию/пролёт)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Грузоподъёмность / режим работы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шт.; Q ≈ 16–20 т; режим ≥ А6/М7; оснастка 316L; ИК-контроль КЗ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п. 4.2.2; расчёт нагрузок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Нагрузки (груз + траверса)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груз до 11,6 т (84 матрицы) + траверса 3–5 т; Q ориентировочно 16–20 т; ≈28 обслуживаний/сут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прил. В, п. 4.1.2; расчёт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 оснастки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Металлические элементы и оснастка — нерж. сталь 316L или аналог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Автоматика / функции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График выгрузки формируется в зависимости от плана-задания и токовой нагрузки; комплектуются бороной и поддоном для сбора проливов; рекомендуется система ИК-датчиков контроля контактного хозяйства и КЗ в ваннах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Пролёт корпуса (справочно)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× 8,645 = 17,29 м + проходы 1,8/1,4/1,5 м = 21,99 ≤ 22,0 м — помещается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расчёт; ИД п. 4.2.2; прил. В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Разграничение поставки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спецоснащение и автоматика — Лот №3; базовые краны — модернизация существующих ЦЭМ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 5.3; ИД п. 4.2.2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освидетельствование ФНП № 461: статика 125 %, динамика 110 % грузоподъёмности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ФНП № 461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Примечание перечня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Рекомендуется использовать существующее подъёмно-транспортное оборудование ЦЭМ после модернизации (при необходимости)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 / модернизация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Пролёт крана, высота подъёма, скорости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Точность позиционирования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 (требование АСУ — автоматический график выгрузки)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bi_lot3.json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kran mostovoy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